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color w:val="000000"/>
        </w:rPr>
      </w:pPr>
    </w:p>
    <w:p>
      <w:pPr>
        <w:keepNext w:val="0"/>
        <w:keepLines w:val="0"/>
        <w:pageBreakBefore w:val="0"/>
        <w:kinsoku/>
        <w:overflowPunct/>
        <w:topLinePunct w:val="0"/>
        <w:bidi w:val="0"/>
        <w:snapToGrid/>
        <w:spacing w:line="590" w:lineRule="exact"/>
        <w:jc w:val="both"/>
        <w:outlineLvl w:val="9"/>
        <w:rPr>
          <w:rFonts w:hint="default" w:ascii="Times New Roman" w:hAnsi="Times New Roman" w:eastAsia="方正仿宋_GBK" w:cs="Times New Roman"/>
          <w:bCs/>
          <w:kern w:val="0"/>
          <w:sz w:val="44"/>
          <w:szCs w:val="44"/>
        </w:rPr>
      </w:pPr>
    </w:p>
    <w:p>
      <w:pPr>
        <w:keepNext w:val="0"/>
        <w:keepLines w:val="0"/>
        <w:pageBreakBefore w:val="0"/>
        <w:kinsoku/>
        <w:overflowPunct/>
        <w:topLinePunct w:val="0"/>
        <w:bidi w:val="0"/>
        <w:snapToGrid/>
        <w:spacing w:line="590" w:lineRule="exact"/>
        <w:jc w:val="center"/>
        <w:outlineLvl w:val="9"/>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lang w:val="en-US" w:eastAsia="zh-CN"/>
        </w:rPr>
        <w:t>六安市发改委</w:t>
      </w:r>
      <w:r>
        <w:rPr>
          <w:rFonts w:hint="eastAsia" w:ascii="方正小标宋_GBK" w:hAnsi="方正小标宋_GBK" w:eastAsia="方正小标宋_GBK" w:cs="方正小标宋_GBK"/>
          <w:sz w:val="44"/>
          <w:szCs w:val="44"/>
        </w:rPr>
        <w:t>关于印发</w:t>
      </w:r>
      <w:r>
        <w:rPr>
          <w:rFonts w:hint="eastAsia" w:ascii="方正小标宋_GBK" w:hAnsi="方正小标宋_GBK" w:eastAsia="方正小标宋_GBK" w:cs="方正小标宋_GBK"/>
          <w:sz w:val="44"/>
          <w:szCs w:val="44"/>
          <w:lang w:val="en-US" w:eastAsia="zh-CN"/>
        </w:rPr>
        <w:t>六安市</w:t>
      </w:r>
      <w:r>
        <w:rPr>
          <w:rFonts w:hint="eastAsia" w:ascii="方正小标宋_GBK" w:hAnsi="方正小标宋_GBK" w:eastAsia="方正小标宋_GBK" w:cs="方正小标宋_GBK"/>
          <w:sz w:val="44"/>
          <w:szCs w:val="44"/>
        </w:rPr>
        <w:t>固定资产投资项目节能审查实施办法</w:t>
      </w:r>
      <w:r>
        <w:rPr>
          <w:rFonts w:hint="eastAsia" w:ascii="方正小标宋_GBK" w:hAnsi="方正小标宋_GBK" w:eastAsia="方正小标宋_GBK" w:cs="方正小标宋_GBK"/>
          <w:sz w:val="44"/>
          <w:szCs w:val="44"/>
          <w:lang w:eastAsia="zh-CN"/>
        </w:rPr>
        <w:t>（暂行）</w:t>
      </w:r>
      <w:r>
        <w:rPr>
          <w:rFonts w:hint="eastAsia" w:ascii="方正小标宋_GBK" w:hAnsi="方正小标宋_GBK" w:eastAsia="方正小标宋_GBK" w:cs="方正小标宋_GBK"/>
          <w:sz w:val="44"/>
          <w:szCs w:val="44"/>
        </w:rPr>
        <w:t>的通知</w:t>
      </w:r>
    </w:p>
    <w:p>
      <w:pPr>
        <w:keepNext w:val="0"/>
        <w:keepLines w:val="0"/>
        <w:pageBreakBefore w:val="0"/>
        <w:kinsoku/>
        <w:overflowPunct/>
        <w:topLinePunct w:val="0"/>
        <w:bidi w:val="0"/>
        <w:snapToGrid/>
        <w:spacing w:line="590" w:lineRule="exact"/>
        <w:ind w:left="304" w:leftChars="100" w:right="304" w:rightChars="100"/>
        <w:jc w:val="center"/>
        <w:outlineLvl w:val="9"/>
        <w:rPr>
          <w:rFonts w:hint="default" w:ascii="Times New Roman" w:hAnsi="Times New Roman" w:eastAsia="方正仿宋_GBK" w:cs="Times New Roman"/>
          <w:color w:val="111111"/>
          <w:sz w:val="32"/>
          <w:szCs w:val="32"/>
        </w:rPr>
      </w:pPr>
      <w:r>
        <w:rPr>
          <w:rFonts w:hint="default" w:ascii="Times New Roman" w:hAnsi="Times New Roman" w:eastAsia="方正仿宋_GBK" w:cs="Times New Roman"/>
          <w:color w:val="111111"/>
          <w:sz w:val="32"/>
          <w:szCs w:val="32"/>
          <w:lang w:val="en-US" w:eastAsia="zh-CN"/>
        </w:rPr>
        <w:t>六</w:t>
      </w:r>
      <w:r>
        <w:rPr>
          <w:rFonts w:hint="default" w:ascii="Times New Roman" w:hAnsi="Times New Roman" w:eastAsia="方正仿宋_GBK" w:cs="Times New Roman"/>
          <w:color w:val="111111"/>
          <w:sz w:val="32"/>
          <w:szCs w:val="32"/>
        </w:rPr>
        <w:t>发改环资〔202</w:t>
      </w:r>
      <w:r>
        <w:rPr>
          <w:rFonts w:hint="default" w:ascii="Times New Roman" w:hAnsi="Times New Roman" w:eastAsia="方正仿宋_GBK" w:cs="Times New Roman"/>
          <w:color w:val="111111"/>
          <w:sz w:val="32"/>
          <w:szCs w:val="32"/>
          <w:lang w:val="en-US" w:eastAsia="zh-CN"/>
        </w:rPr>
        <w:t>2</w:t>
      </w:r>
      <w:r>
        <w:rPr>
          <w:rFonts w:hint="default" w:ascii="Times New Roman" w:hAnsi="Times New Roman" w:eastAsia="方正仿宋_GBK" w:cs="Times New Roman"/>
          <w:color w:val="111111"/>
          <w:sz w:val="32"/>
          <w:szCs w:val="32"/>
        </w:rPr>
        <w:t>〕</w:t>
      </w:r>
      <w:r>
        <w:rPr>
          <w:rFonts w:hint="default" w:ascii="Times New Roman" w:hAnsi="Times New Roman" w:eastAsia="方正仿宋_GBK" w:cs="Times New Roman"/>
          <w:color w:val="111111"/>
          <w:sz w:val="32"/>
          <w:szCs w:val="32"/>
          <w:lang w:val="en-US" w:eastAsia="zh-CN"/>
        </w:rPr>
        <w:t>161</w:t>
      </w:r>
      <w:r>
        <w:rPr>
          <w:rFonts w:hint="default" w:ascii="Times New Roman" w:hAnsi="Times New Roman" w:eastAsia="方正仿宋_GBK" w:cs="Times New Roman"/>
          <w:color w:val="111111"/>
          <w:sz w:val="32"/>
          <w:szCs w:val="32"/>
        </w:rPr>
        <w:t>号</w:t>
      </w:r>
    </w:p>
    <w:p>
      <w:pPr>
        <w:keepNext w:val="0"/>
        <w:keepLines w:val="0"/>
        <w:pageBreakBefore w:val="0"/>
        <w:kinsoku/>
        <w:overflowPunct/>
        <w:topLinePunct w:val="0"/>
        <w:bidi w:val="0"/>
        <w:snapToGrid/>
        <w:spacing w:line="590" w:lineRule="exact"/>
        <w:outlineLvl w:val="9"/>
        <w:rPr>
          <w:rFonts w:hint="default" w:ascii="Times New Roman" w:hAnsi="Times New Roman" w:eastAsia="方正仿宋_GBK" w:cs="Times New Roman"/>
          <w:sz w:val="44"/>
          <w:szCs w:val="44"/>
        </w:rPr>
      </w:pPr>
    </w:p>
    <w:p>
      <w:pPr>
        <w:keepNext w:val="0"/>
        <w:keepLines w:val="0"/>
        <w:pageBreakBefore w:val="0"/>
        <w:kinsoku/>
        <w:overflowPunct/>
        <w:topLinePunct w:val="0"/>
        <w:bidi w:val="0"/>
        <w:snapToGrid/>
        <w:spacing w:line="590" w:lineRule="exact"/>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各</w:t>
      </w:r>
      <w:r>
        <w:rPr>
          <w:rFonts w:hint="default" w:ascii="Times New Roman" w:hAnsi="Times New Roman" w:eastAsia="方正仿宋_GBK" w:cs="Times New Roman"/>
          <w:sz w:val="32"/>
          <w:szCs w:val="32"/>
          <w:lang w:val="en-US" w:eastAsia="zh-CN"/>
        </w:rPr>
        <w:t>县区发展改革委，市开发区发展改革局</w:t>
      </w:r>
      <w:r>
        <w:rPr>
          <w:rFonts w:hint="default" w:ascii="Times New Roman" w:hAnsi="Times New Roman" w:eastAsia="方正仿宋_GBK" w:cs="Times New Roman"/>
          <w:sz w:val="32"/>
          <w:szCs w:val="32"/>
        </w:rPr>
        <w:t>，</w:t>
      </w:r>
      <w:r>
        <w:rPr>
          <w:rFonts w:hint="default" w:ascii="Times New Roman" w:hAnsi="Times New Roman" w:eastAsia="方正仿宋_GBK" w:cs="Times New Roman"/>
          <w:sz w:val="32"/>
          <w:szCs w:val="32"/>
          <w:lang w:val="en-US" w:eastAsia="zh-CN"/>
        </w:rPr>
        <w:t>市</w:t>
      </w:r>
      <w:r>
        <w:rPr>
          <w:rFonts w:hint="default" w:ascii="Times New Roman" w:hAnsi="Times New Roman" w:eastAsia="方正仿宋_GBK" w:cs="Times New Roman"/>
          <w:sz w:val="32"/>
          <w:szCs w:val="32"/>
        </w:rPr>
        <w:t>有关单位：</w:t>
      </w:r>
    </w:p>
    <w:p>
      <w:pPr>
        <w:keepNext w:val="0"/>
        <w:keepLines w:val="0"/>
        <w:pageBreakBefore w:val="0"/>
        <w:kinsoku/>
        <w:overflowPunct/>
        <w:topLinePunct w:val="0"/>
        <w:bidi w:val="0"/>
        <w:snapToGrid/>
        <w:spacing w:line="590" w:lineRule="exact"/>
        <w:ind w:firstLine="636"/>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现将《</w:t>
      </w:r>
      <w:r>
        <w:rPr>
          <w:rFonts w:hint="default" w:ascii="Times New Roman" w:hAnsi="Times New Roman" w:eastAsia="方正仿宋_GBK" w:cs="Times New Roman"/>
          <w:sz w:val="32"/>
          <w:szCs w:val="32"/>
          <w:lang w:val="en-US" w:eastAsia="zh-CN"/>
        </w:rPr>
        <w:t>六安市</w:t>
      </w:r>
      <w:r>
        <w:rPr>
          <w:rFonts w:hint="default" w:ascii="Times New Roman" w:hAnsi="Times New Roman" w:eastAsia="方正仿宋_GBK" w:cs="Times New Roman"/>
          <w:sz w:val="32"/>
          <w:szCs w:val="32"/>
        </w:rPr>
        <w:t>固定资产投资项目节能审查实施办法（暂行）》印发给你们，请认真贯彻执行。</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left="0" w:leftChars="0" w:right="608" w:rightChars="200" w:firstLine="0" w:firstLineChars="0"/>
        <w:jc w:val="right"/>
        <w:textAlignment w:val="auto"/>
        <w:outlineLvl w:val="9"/>
        <w:rPr>
          <w:rFonts w:hint="default" w:ascii="Times New Roman" w:hAnsi="Times New Roman" w:eastAsia="方正仿宋_GBK" w:cs="Times New Roman"/>
          <w:sz w:val="32"/>
          <w:szCs w:val="32"/>
        </w:rPr>
      </w:pPr>
      <w:r>
        <w:rPr>
          <w:rFonts w:hint="eastAsia"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rPr>
        <w:t>六安市发展和改革委员会</w:t>
      </w:r>
    </w:p>
    <w:p>
      <w:pPr>
        <w:keepNext w:val="0"/>
        <w:keepLines w:val="0"/>
        <w:pageBreakBefore w:val="0"/>
        <w:widowControl w:val="0"/>
        <w:kinsoku/>
        <w:wordWrap/>
        <w:overflowPunct/>
        <w:topLinePunct w:val="0"/>
        <w:autoSpaceDE/>
        <w:autoSpaceDN/>
        <w:bidi w:val="0"/>
        <w:adjustRightInd/>
        <w:snapToGrid/>
        <w:spacing w:line="590" w:lineRule="exact"/>
        <w:ind w:left="0" w:leftChars="0" w:right="1216" w:rightChars="400" w:firstLine="0" w:firstLineChars="0"/>
        <w:jc w:val="right"/>
        <w:textAlignment w:val="auto"/>
        <w:outlineLvl w:val="9"/>
        <w:rPr>
          <w:rFonts w:hint="default" w:ascii="Times New Roman" w:hAnsi="Times New Roman" w:eastAsia="方正仿宋_GBK" w:cs="Times New Roman"/>
          <w:sz w:val="32"/>
          <w:szCs w:val="32"/>
        </w:rPr>
      </w:pPr>
      <w:bookmarkStart w:id="0" w:name="_GoBack"/>
      <w:r>
        <w:rPr>
          <w:rFonts w:hint="default" w:ascii="Times New Roman" w:hAnsi="Times New Roman" w:eastAsia="方正仿宋_GBK" w:cs="Times New Roman"/>
          <w:sz w:val="32"/>
          <w:szCs w:val="32"/>
        </w:rPr>
        <w:t>2022年6月2日</w:t>
      </w:r>
      <w:bookmarkEnd w:id="0"/>
      <w:r>
        <w:rPr>
          <w:rFonts w:hint="default" w:ascii="Times New Roman" w:hAnsi="Times New Roman" w:eastAsia="方正仿宋_GBK" w:cs="Times New Roman"/>
          <w:sz w:val="32"/>
          <w:szCs w:val="32"/>
        </w:rPr>
        <w:br w:type="page"/>
      </w:r>
    </w:p>
    <w:p>
      <w:pPr>
        <w:keepNext w:val="0"/>
        <w:keepLines w:val="0"/>
        <w:pageBreakBefore w:val="0"/>
        <w:kinsoku/>
        <w:overflowPunct/>
        <w:topLinePunct w:val="0"/>
        <w:bidi w:val="0"/>
        <w:snapToGrid/>
        <w:spacing w:line="590" w:lineRule="exact"/>
        <w:jc w:val="center"/>
        <w:outlineLvl w:val="9"/>
        <w:rPr>
          <w:rFonts w:hint="default" w:ascii="Times New Roman" w:hAnsi="Times New Roman" w:eastAsia="方正仿宋_GBK" w:cs="Times New Roman"/>
          <w:bCs/>
          <w:sz w:val="44"/>
          <w:szCs w:val="44"/>
          <w:lang w:val="en-US" w:eastAsia="zh-CN"/>
        </w:rPr>
      </w:pPr>
    </w:p>
    <w:p>
      <w:pPr>
        <w:keepNext w:val="0"/>
        <w:keepLines w:val="0"/>
        <w:pageBreakBefore w:val="0"/>
        <w:kinsoku/>
        <w:overflowPunct/>
        <w:topLinePunct w:val="0"/>
        <w:bidi w:val="0"/>
        <w:snapToGrid/>
        <w:spacing w:line="590" w:lineRule="exact"/>
        <w:jc w:val="center"/>
        <w:outlineLvl w:val="9"/>
        <w:rPr>
          <w:rFonts w:hint="eastAsia" w:ascii="方正小标宋_GBK" w:hAnsi="方正小标宋_GBK" w:eastAsia="方正小标宋_GBK" w:cs="方正小标宋_GBK"/>
          <w:bCs/>
          <w:sz w:val="44"/>
          <w:szCs w:val="44"/>
        </w:rPr>
      </w:pPr>
      <w:r>
        <w:rPr>
          <w:rFonts w:hint="eastAsia" w:ascii="方正小标宋_GBK" w:hAnsi="方正小标宋_GBK" w:eastAsia="方正小标宋_GBK" w:cs="方正小标宋_GBK"/>
          <w:bCs/>
          <w:sz w:val="44"/>
          <w:szCs w:val="44"/>
          <w:lang w:val="en-US" w:eastAsia="zh-CN"/>
        </w:rPr>
        <w:t>六安市</w:t>
      </w:r>
      <w:r>
        <w:rPr>
          <w:rFonts w:hint="eastAsia" w:ascii="方正小标宋_GBK" w:hAnsi="方正小标宋_GBK" w:eastAsia="方正小标宋_GBK" w:cs="方正小标宋_GBK"/>
          <w:bCs/>
          <w:sz w:val="44"/>
          <w:szCs w:val="44"/>
        </w:rPr>
        <w:t>固定资产投资项目节能审查实施办法</w:t>
      </w:r>
    </w:p>
    <w:p>
      <w:pPr>
        <w:keepNext w:val="0"/>
        <w:keepLines w:val="0"/>
        <w:pageBreakBefore w:val="0"/>
        <w:kinsoku/>
        <w:overflowPunct/>
        <w:topLinePunct w:val="0"/>
        <w:bidi w:val="0"/>
        <w:snapToGrid/>
        <w:spacing w:line="590" w:lineRule="exact"/>
        <w:jc w:val="center"/>
        <w:outlineLvl w:val="9"/>
        <w:rPr>
          <w:rFonts w:hint="eastAsia" w:ascii="方正小标宋_GBK" w:hAnsi="方正小标宋_GBK" w:eastAsia="方正小标宋_GBK" w:cs="方正小标宋_GBK"/>
          <w:bCs/>
          <w:sz w:val="44"/>
          <w:szCs w:val="44"/>
        </w:rPr>
      </w:pPr>
      <w:r>
        <w:rPr>
          <w:rFonts w:hint="eastAsia" w:ascii="方正小标宋_GBK" w:hAnsi="方正小标宋_GBK" w:eastAsia="方正小标宋_GBK" w:cs="方正小标宋_GBK"/>
          <w:bCs/>
          <w:sz w:val="44"/>
          <w:szCs w:val="44"/>
        </w:rPr>
        <w:t>（暂行）</w:t>
      </w:r>
    </w:p>
    <w:p>
      <w:pPr>
        <w:keepNext w:val="0"/>
        <w:keepLines w:val="0"/>
        <w:pageBreakBefore w:val="0"/>
        <w:kinsoku/>
        <w:overflowPunct/>
        <w:topLinePunct w:val="0"/>
        <w:bidi w:val="0"/>
        <w:snapToGrid/>
        <w:spacing w:line="590" w:lineRule="exact"/>
        <w:outlineLvl w:val="9"/>
        <w:rPr>
          <w:rFonts w:hint="default" w:ascii="Times New Roman" w:hAnsi="Times New Roman" w:eastAsia="方正仿宋_GBK" w:cs="Times New Roman"/>
          <w:sz w:val="32"/>
          <w:szCs w:val="32"/>
        </w:rPr>
      </w:pP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eastAsia" w:ascii="方正黑体_GBK" w:hAnsi="方正黑体_GBK" w:eastAsia="方正黑体_GBK" w:cs="方正黑体_GBK"/>
          <w:sz w:val="32"/>
          <w:szCs w:val="32"/>
        </w:rPr>
        <w:t>第一条</w:t>
      </w:r>
      <w:r>
        <w:rPr>
          <w:rFonts w:hint="default" w:ascii="Times New Roman" w:hAnsi="Times New Roman" w:eastAsia="方正仿宋_GBK" w:cs="Times New Roman"/>
          <w:sz w:val="32"/>
          <w:szCs w:val="32"/>
        </w:rPr>
        <w:t xml:space="preserve">  为贯彻实施《中华人民共和国节约能源法》《中华人民共和国行政许可法》《安徽省节约能源条例》，促进固定资产投资项目科学合理利用能源，提高能源利用效率，加强能源消费强度和总量管理，坚决遏制</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两高</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项目盲目发展，助力实现碳达峰碳中和目标，根据《固定资产投资项目节能审查办法》（国家发展和改革委员会令第44号）</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《安徽省固定资产投资项目节能审查实施办法（暂行）》</w:t>
      </w:r>
      <w:r>
        <w:rPr>
          <w:rFonts w:hint="default" w:ascii="Times New Roman" w:hAnsi="Times New Roman" w:eastAsia="方正仿宋_GBK" w:cs="Times New Roman"/>
          <w:color w:val="000000"/>
          <w:sz w:val="32"/>
          <w:szCs w:val="32"/>
          <w:lang w:eastAsia="zh-CN"/>
        </w:rPr>
        <w:t>（</w:t>
      </w:r>
      <w:r>
        <w:rPr>
          <w:rFonts w:hint="default" w:ascii="Times New Roman" w:hAnsi="Times New Roman" w:eastAsia="方正仿宋_GBK" w:cs="Times New Roman"/>
          <w:color w:val="111111"/>
          <w:sz w:val="32"/>
          <w:szCs w:val="32"/>
        </w:rPr>
        <w:t>皖发改环资规〔2021〕8号</w:t>
      </w:r>
      <w:r>
        <w:rPr>
          <w:rFonts w:hint="default" w:ascii="Times New Roman" w:hAnsi="Times New Roman" w:eastAsia="方正仿宋_GBK" w:cs="Times New Roman"/>
          <w:color w:val="000000"/>
          <w:sz w:val="32"/>
          <w:szCs w:val="32"/>
          <w:lang w:eastAsia="zh-CN"/>
        </w:rPr>
        <w:t>）</w:t>
      </w:r>
      <w:r>
        <w:rPr>
          <w:rFonts w:hint="default" w:ascii="Times New Roman" w:hAnsi="Times New Roman" w:eastAsia="方正仿宋_GBK" w:cs="Times New Roman"/>
          <w:sz w:val="32"/>
          <w:szCs w:val="32"/>
        </w:rPr>
        <w:t>，结合</w:t>
      </w:r>
      <w:r>
        <w:rPr>
          <w:rFonts w:hint="default" w:ascii="Times New Roman" w:hAnsi="Times New Roman" w:eastAsia="方正仿宋_GBK" w:cs="Times New Roman"/>
          <w:sz w:val="32"/>
          <w:szCs w:val="32"/>
          <w:lang w:val="en-US" w:eastAsia="zh-CN"/>
        </w:rPr>
        <w:t>六安市</w:t>
      </w:r>
      <w:r>
        <w:rPr>
          <w:rFonts w:hint="default" w:ascii="Times New Roman" w:hAnsi="Times New Roman" w:eastAsia="方正仿宋_GBK" w:cs="Times New Roman"/>
          <w:sz w:val="32"/>
          <w:szCs w:val="32"/>
        </w:rPr>
        <w:t>实际，制定本实施办法。</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方正黑体_GBK" w:hAnsi="方正黑体_GBK" w:eastAsia="方正黑体_GBK" w:cs="方正黑体_GBK"/>
          <w:sz w:val="32"/>
          <w:szCs w:val="32"/>
        </w:rPr>
        <w:t xml:space="preserve">第二条 </w:t>
      </w:r>
      <w:r>
        <w:rPr>
          <w:rFonts w:hint="default" w:ascii="Times New Roman" w:hAnsi="Times New Roman" w:eastAsia="方正仿宋_GBK" w:cs="Times New Roman"/>
          <w:sz w:val="32"/>
          <w:szCs w:val="32"/>
        </w:rPr>
        <w:t xml:space="preserve"> 本实施办法适用于</w:t>
      </w:r>
      <w:r>
        <w:rPr>
          <w:rFonts w:hint="default" w:ascii="Times New Roman" w:hAnsi="Times New Roman" w:eastAsia="方正仿宋_GBK" w:cs="Times New Roman"/>
          <w:sz w:val="32"/>
          <w:szCs w:val="32"/>
          <w:lang w:val="en-US" w:eastAsia="zh-CN"/>
        </w:rPr>
        <w:t>六安市</w:t>
      </w:r>
      <w:r>
        <w:rPr>
          <w:rFonts w:hint="default" w:ascii="Times New Roman" w:hAnsi="Times New Roman" w:eastAsia="方正仿宋_GBK" w:cs="Times New Roman"/>
          <w:sz w:val="32"/>
          <w:szCs w:val="32"/>
        </w:rPr>
        <w:t>行政区域内</w:t>
      </w:r>
      <w:r>
        <w:rPr>
          <w:rFonts w:hint="default" w:ascii="Times New Roman" w:hAnsi="Times New Roman" w:eastAsia="方正仿宋_GBK" w:cs="Times New Roman"/>
          <w:color w:val="000000"/>
          <w:sz w:val="32"/>
          <w:szCs w:val="32"/>
        </w:rPr>
        <w:t>的固定资产投资项目</w:t>
      </w:r>
      <w:r>
        <w:rPr>
          <w:rFonts w:hint="default" w:ascii="Times New Roman" w:hAnsi="Times New Roman" w:eastAsia="方正仿宋_GBK" w:cs="Times New Roman"/>
          <w:sz w:val="32"/>
          <w:szCs w:val="32"/>
        </w:rPr>
        <w:t>。本实施办法所称节能审查，是指根据节能法律法规、政策标准等，对项目节能情况进行审查并形成审查意见的行为。</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方正黑体_GBK" w:hAnsi="方正黑体_GBK" w:eastAsia="方正黑体_GBK" w:cs="方正黑体_GBK"/>
          <w:sz w:val="32"/>
          <w:szCs w:val="32"/>
        </w:rPr>
        <w:t xml:space="preserve">第三条 </w:t>
      </w:r>
      <w:r>
        <w:rPr>
          <w:rFonts w:hint="default" w:ascii="Times New Roman" w:hAnsi="Times New Roman" w:eastAsia="方正仿宋_GBK" w:cs="Times New Roman"/>
          <w:sz w:val="32"/>
          <w:szCs w:val="32"/>
        </w:rPr>
        <w:t xml:space="preserve"> 固定资产投资项目节能审查意见是项目开工建设、竣工验收和运营管理的重要依据。政府投资项目，建设单位在报送项目可行性研究报告前，需取得节能审查机关出具的节能审查意见。企业投资项目，建设单位需在开工建设前取得节能审查机关出具的节能审查意见。未按本实施办法规定进行节能审查或节能审查未通过的项目，建设单位不得开工建设，已经建成的不得投入生产、使用。</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方正黑体_GBK" w:hAnsi="方正黑体_GBK" w:eastAsia="方正黑体_GBK" w:cs="方正黑体_GBK"/>
          <w:sz w:val="32"/>
          <w:szCs w:val="32"/>
        </w:rPr>
        <w:t>第四条</w:t>
      </w:r>
      <w:r>
        <w:rPr>
          <w:rFonts w:hint="default" w:ascii="Times New Roman" w:hAnsi="Times New Roman" w:eastAsia="方正仿宋_GBK" w:cs="Times New Roman"/>
          <w:sz w:val="32"/>
          <w:szCs w:val="32"/>
        </w:rPr>
        <w:t xml:space="preserve">  </w:t>
      </w:r>
      <w:r>
        <w:rPr>
          <w:rFonts w:hint="default" w:ascii="Times New Roman" w:hAnsi="Times New Roman" w:eastAsia="方正仿宋_GBK" w:cs="Times New Roman"/>
          <w:sz w:val="32"/>
          <w:szCs w:val="32"/>
          <w:lang w:val="en-US" w:eastAsia="zh-CN"/>
        </w:rPr>
        <w:t>市发展改革委</w:t>
      </w:r>
      <w:r>
        <w:rPr>
          <w:rFonts w:hint="default" w:ascii="Times New Roman" w:hAnsi="Times New Roman" w:eastAsia="方正仿宋_GBK" w:cs="Times New Roman"/>
          <w:sz w:val="32"/>
          <w:szCs w:val="32"/>
        </w:rPr>
        <w:t>负责制定</w:t>
      </w:r>
      <w:r>
        <w:rPr>
          <w:rFonts w:hint="default" w:ascii="Times New Roman" w:hAnsi="Times New Roman" w:eastAsia="方正仿宋_GBK" w:cs="Times New Roman"/>
          <w:sz w:val="32"/>
          <w:szCs w:val="32"/>
          <w:lang w:val="en-US" w:eastAsia="zh-CN"/>
        </w:rPr>
        <w:t>我市</w:t>
      </w:r>
      <w:r>
        <w:rPr>
          <w:rFonts w:hint="default" w:ascii="Times New Roman" w:hAnsi="Times New Roman" w:eastAsia="方正仿宋_GBK" w:cs="Times New Roman"/>
          <w:sz w:val="32"/>
          <w:szCs w:val="32"/>
        </w:rPr>
        <w:t>节能审查的相关管理办法，参照国家技术标准、规范和指南，开展业务培训，依据各</w:t>
      </w:r>
      <w:r>
        <w:rPr>
          <w:rFonts w:hint="default" w:ascii="Times New Roman" w:hAnsi="Times New Roman" w:eastAsia="方正仿宋_GBK" w:cs="Times New Roman"/>
          <w:sz w:val="32"/>
          <w:szCs w:val="32"/>
          <w:lang w:eastAsia="zh-CN"/>
        </w:rPr>
        <w:t>县区</w:t>
      </w:r>
      <w:r>
        <w:rPr>
          <w:rFonts w:hint="default" w:ascii="Times New Roman" w:hAnsi="Times New Roman" w:eastAsia="方正仿宋_GBK" w:cs="Times New Roman"/>
          <w:sz w:val="32"/>
          <w:szCs w:val="32"/>
        </w:rPr>
        <w:t>能耗</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双控</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目标完成情况，对各</w:t>
      </w:r>
      <w:r>
        <w:rPr>
          <w:rFonts w:hint="default" w:ascii="Times New Roman" w:hAnsi="Times New Roman" w:eastAsia="方正仿宋_GBK" w:cs="Times New Roman"/>
          <w:sz w:val="32"/>
          <w:szCs w:val="32"/>
          <w:lang w:eastAsia="zh-CN"/>
        </w:rPr>
        <w:t>县区</w:t>
      </w:r>
      <w:r>
        <w:rPr>
          <w:rFonts w:hint="default" w:ascii="Times New Roman" w:hAnsi="Times New Roman" w:eastAsia="方正仿宋_GBK" w:cs="Times New Roman"/>
          <w:sz w:val="32"/>
          <w:szCs w:val="32"/>
        </w:rPr>
        <w:t>节能审查工作进行督导。</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方正黑体_GBK" w:hAnsi="方正黑体_GBK" w:eastAsia="方正黑体_GBK" w:cs="方正黑体_GBK"/>
          <w:sz w:val="32"/>
          <w:szCs w:val="32"/>
        </w:rPr>
        <w:t>第五条</w:t>
      </w:r>
      <w:r>
        <w:rPr>
          <w:rFonts w:hint="default" w:ascii="Times New Roman" w:hAnsi="Times New Roman" w:eastAsia="方正仿宋_GBK" w:cs="Times New Roman"/>
          <w:sz w:val="32"/>
          <w:szCs w:val="32"/>
        </w:rPr>
        <w:t xml:space="preserve">  年综合能源消费量5000吨标准煤以上（改扩建项目按照建成投产后年综合能源消费增量计算，电力折算系数按当量值，下同）的固定资产投资项目</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lang w:val="en-US" w:eastAsia="zh-CN"/>
        </w:rPr>
        <w:t>以及由</w:t>
      </w:r>
      <w:r>
        <w:rPr>
          <w:rFonts w:hint="default" w:ascii="Times New Roman" w:hAnsi="Times New Roman" w:eastAsia="方正仿宋_GBK" w:cs="Times New Roman"/>
          <w:sz w:val="32"/>
          <w:szCs w:val="32"/>
        </w:rPr>
        <w:t>国务院</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国家发展改革委审批或核准的固定资产投资项目</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其节能审查由省发展改革委或委托市</w:t>
      </w:r>
      <w:r>
        <w:rPr>
          <w:rFonts w:hint="default" w:ascii="Times New Roman" w:hAnsi="Times New Roman" w:eastAsia="方正仿宋_GBK" w:cs="Times New Roman"/>
          <w:sz w:val="32"/>
          <w:szCs w:val="32"/>
          <w:lang w:eastAsia="zh-CN"/>
        </w:rPr>
        <w:t>级节能审查机关</w:t>
      </w:r>
      <w:r>
        <w:rPr>
          <w:rFonts w:hint="default" w:ascii="Times New Roman" w:hAnsi="Times New Roman" w:eastAsia="方正仿宋_GBK" w:cs="Times New Roman"/>
          <w:sz w:val="32"/>
          <w:szCs w:val="32"/>
        </w:rPr>
        <w:t>实施。</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color w:val="000000"/>
          <w:sz w:val="32"/>
          <w:szCs w:val="32"/>
        </w:rPr>
      </w:pPr>
      <w:r>
        <w:rPr>
          <w:rFonts w:hint="default" w:ascii="方正黑体_GBK" w:hAnsi="方正黑体_GBK" w:eastAsia="方正黑体_GBK" w:cs="方正黑体_GBK"/>
          <w:sz w:val="32"/>
          <w:szCs w:val="32"/>
          <w:lang w:val="en-US" w:eastAsia="zh-CN"/>
        </w:rPr>
        <w:t>第六条</w:t>
      </w:r>
      <w:r>
        <w:rPr>
          <w:rFonts w:hint="default"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color w:val="000000"/>
          <w:sz w:val="32"/>
          <w:szCs w:val="32"/>
        </w:rPr>
        <w:t>年综合能源消费量1000</w:t>
      </w:r>
      <w:r>
        <w:rPr>
          <w:rFonts w:hint="default" w:ascii="Times New Roman" w:hAnsi="Times New Roman" w:eastAsia="方正仿宋_GBK" w:cs="Times New Roman"/>
          <w:color w:val="000000"/>
          <w:sz w:val="32"/>
          <w:szCs w:val="32"/>
          <w:lang w:val="en-US" w:eastAsia="zh-CN"/>
        </w:rPr>
        <w:t>吨标准煤以上且</w:t>
      </w:r>
      <w:r>
        <w:rPr>
          <w:rFonts w:hint="default" w:ascii="Times New Roman" w:hAnsi="Times New Roman" w:eastAsia="方正仿宋_GBK" w:cs="Times New Roman"/>
          <w:color w:val="000000"/>
          <w:sz w:val="32"/>
          <w:szCs w:val="32"/>
        </w:rPr>
        <w:t>不满5000吨标准煤</w:t>
      </w:r>
      <w:r>
        <w:rPr>
          <w:rFonts w:hint="default" w:ascii="Times New Roman" w:hAnsi="Times New Roman" w:eastAsia="方正仿宋_GBK" w:cs="Times New Roman"/>
          <w:color w:val="000000"/>
          <w:sz w:val="32"/>
          <w:szCs w:val="32"/>
          <w:lang w:val="en-US" w:eastAsia="zh-CN"/>
        </w:rPr>
        <w:t>的，或</w:t>
      </w:r>
      <w:r>
        <w:rPr>
          <w:rFonts w:hint="default" w:ascii="Times New Roman" w:hAnsi="Times New Roman" w:eastAsia="方正仿宋_GBK" w:cs="Times New Roman"/>
          <w:color w:val="000000"/>
          <w:sz w:val="32"/>
          <w:szCs w:val="32"/>
        </w:rPr>
        <w:t>年综合能源消费量不满1000吨标准煤但年电力消费量满500万千瓦时的固定资产投资项目，根据项目审批权限，其节能审查由同级节能审查机关负责；省政府、省发展改革委审批</w:t>
      </w:r>
      <w:r>
        <w:rPr>
          <w:rFonts w:hint="default" w:ascii="Times New Roman" w:hAnsi="Times New Roman" w:eastAsia="方正仿宋_GBK" w:cs="Times New Roman"/>
          <w:color w:val="000000"/>
          <w:sz w:val="32"/>
          <w:szCs w:val="32"/>
          <w:lang w:eastAsia="zh-CN"/>
        </w:rPr>
        <w:t>或</w:t>
      </w:r>
      <w:r>
        <w:rPr>
          <w:rFonts w:hint="default" w:ascii="Times New Roman" w:hAnsi="Times New Roman" w:eastAsia="方正仿宋_GBK" w:cs="Times New Roman"/>
          <w:color w:val="000000"/>
          <w:sz w:val="32"/>
          <w:szCs w:val="32"/>
        </w:rPr>
        <w:t>核准的固定资产投资项目，</w:t>
      </w:r>
      <w:r>
        <w:rPr>
          <w:rFonts w:hint="default" w:ascii="Times New Roman" w:hAnsi="Times New Roman" w:eastAsia="方正仿宋_GBK" w:cs="Times New Roman"/>
          <w:color w:val="000000"/>
          <w:sz w:val="32"/>
          <w:szCs w:val="32"/>
          <w:lang w:eastAsia="zh-CN"/>
        </w:rPr>
        <w:t>其节能审查</w:t>
      </w:r>
      <w:r>
        <w:rPr>
          <w:rFonts w:hint="default" w:ascii="Times New Roman" w:hAnsi="Times New Roman" w:eastAsia="方正仿宋_GBK" w:cs="Times New Roman"/>
          <w:color w:val="000000"/>
          <w:sz w:val="32"/>
          <w:szCs w:val="32"/>
          <w:lang w:val="en-US" w:eastAsia="zh-CN"/>
        </w:rPr>
        <w:t>由</w:t>
      </w:r>
      <w:r>
        <w:rPr>
          <w:rFonts w:hint="default" w:ascii="Times New Roman" w:hAnsi="Times New Roman" w:eastAsia="方正仿宋_GBK" w:cs="Times New Roman"/>
          <w:color w:val="000000"/>
          <w:sz w:val="32"/>
          <w:szCs w:val="32"/>
          <w:lang w:eastAsia="zh-CN"/>
        </w:rPr>
        <w:t>市发展改革委或委托县区节能审查机关实施</w:t>
      </w:r>
      <w:r>
        <w:rPr>
          <w:rFonts w:hint="default" w:ascii="Times New Roman" w:hAnsi="Times New Roman" w:eastAsia="方正仿宋_GBK" w:cs="Times New Roman"/>
          <w:color w:val="000000"/>
          <w:sz w:val="32"/>
          <w:szCs w:val="32"/>
        </w:rPr>
        <w:t>。</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方正黑体_GBK" w:hAnsi="方正黑体_GBK" w:eastAsia="方正黑体_GBK" w:cs="方正黑体_GBK"/>
          <w:sz w:val="32"/>
          <w:szCs w:val="32"/>
          <w:lang w:val="en-US" w:eastAsia="zh-CN"/>
        </w:rPr>
        <w:t>第七条</w:t>
      </w:r>
      <w:r>
        <w:rPr>
          <w:rFonts w:hint="default" w:ascii="Times New Roman" w:hAnsi="Times New Roman" w:eastAsia="方正仿宋_GBK" w:cs="Times New Roman"/>
          <w:sz w:val="32"/>
          <w:szCs w:val="32"/>
        </w:rPr>
        <w:t xml:space="preserve">  年综合能源消费量不满1000吨标准煤且年电力消费量不满500万千瓦时的固定资产投资项目，涉及国家秘密以及用能工艺简单、节能潜力小的行业（</w:t>
      </w:r>
      <w:r>
        <w:rPr>
          <w:rFonts w:hint="default" w:ascii="Times New Roman" w:hAnsi="Times New Roman" w:eastAsia="方正仿宋_GBK" w:cs="Times New Roman"/>
          <w:sz w:val="32"/>
          <w:szCs w:val="32"/>
          <w:lang w:val="en-US" w:eastAsia="zh-CN"/>
        </w:rPr>
        <w:t>具体行业依据国家发展改革委制定并公布的目录确定</w:t>
      </w:r>
      <w:r>
        <w:rPr>
          <w:rFonts w:hint="default" w:ascii="Times New Roman" w:hAnsi="Times New Roman" w:eastAsia="方正仿宋_GBK" w:cs="Times New Roman"/>
          <w:sz w:val="32"/>
          <w:szCs w:val="32"/>
        </w:rPr>
        <w:t>）的固定资产投资项目，不再单独进行节能审查。</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政府投资项目应当在报送可行性研究报告时将项目能耗承诺和能耗测算说明</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lang w:val="en-US" w:eastAsia="zh-CN"/>
        </w:rPr>
        <w:t>附件1，下同</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向所在地节能主管部门报备</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企业投资项目应当在开工建设前将项目能耗承诺和能耗测算说明向所在地节能主管部门报备，并按照相关节能标准、规范建设。</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方正黑体_GBK" w:hAnsi="方正黑体_GBK" w:eastAsia="方正黑体_GBK" w:cs="方正黑体_GBK"/>
          <w:sz w:val="32"/>
          <w:szCs w:val="32"/>
          <w:lang w:val="en-US" w:eastAsia="zh-CN"/>
        </w:rPr>
        <w:t>第八条</w:t>
      </w:r>
      <w:r>
        <w:rPr>
          <w:rFonts w:hint="default" w:ascii="Times New Roman" w:hAnsi="Times New Roman" w:eastAsia="方正仿宋_GBK" w:cs="Times New Roman"/>
          <w:sz w:val="30"/>
          <w:szCs w:val="30"/>
        </w:rPr>
        <w:t xml:space="preserve">  </w:t>
      </w:r>
      <w:r>
        <w:rPr>
          <w:rFonts w:hint="default" w:ascii="Times New Roman" w:hAnsi="Times New Roman" w:eastAsia="方正仿宋_GBK" w:cs="Times New Roman"/>
          <w:sz w:val="32"/>
          <w:szCs w:val="32"/>
        </w:rPr>
        <w:t>各级节能主管部门应当会同有关部门，对</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两高</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项目实施清单管理，作为项目节能审查的重要参考。</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val="en-US" w:eastAsia="zh-CN"/>
        </w:rPr>
        <w:t>市发展改革委</w:t>
      </w:r>
      <w:r>
        <w:rPr>
          <w:rFonts w:hint="default" w:ascii="Times New Roman" w:hAnsi="Times New Roman" w:eastAsia="方正仿宋_GBK" w:cs="Times New Roman"/>
          <w:sz w:val="32"/>
          <w:szCs w:val="32"/>
        </w:rPr>
        <w:t>会同有关部门，以煤电、石化、煤化工、钢铁、焦化、建材、有色、化工等行业年综合能源消费量5000吨标准煤（当量值）以上的项目为重点，动态建立</w:t>
      </w:r>
      <w:r>
        <w:rPr>
          <w:rFonts w:hint="default" w:ascii="Times New Roman" w:hAnsi="Times New Roman" w:eastAsia="方正仿宋_GBK" w:cs="Times New Roman"/>
          <w:sz w:val="32"/>
          <w:szCs w:val="32"/>
          <w:lang w:val="en-US" w:eastAsia="zh-CN"/>
        </w:rPr>
        <w:t>市级</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两高</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项目清单。各</w:t>
      </w:r>
      <w:r>
        <w:rPr>
          <w:rFonts w:hint="default" w:ascii="Times New Roman" w:hAnsi="Times New Roman" w:eastAsia="方正仿宋_GBK" w:cs="Times New Roman"/>
          <w:sz w:val="32"/>
          <w:szCs w:val="32"/>
          <w:lang w:val="en-US" w:eastAsia="zh-CN"/>
        </w:rPr>
        <w:t>县区、市开发区要</w:t>
      </w:r>
      <w:r>
        <w:rPr>
          <w:rFonts w:hint="default" w:ascii="Times New Roman" w:hAnsi="Times New Roman" w:eastAsia="方正仿宋_GBK" w:cs="Times New Roman"/>
          <w:sz w:val="32"/>
          <w:szCs w:val="32"/>
        </w:rPr>
        <w:t>参照</w:t>
      </w:r>
      <w:r>
        <w:rPr>
          <w:rFonts w:hint="default" w:ascii="Times New Roman" w:hAnsi="Times New Roman" w:eastAsia="方正仿宋_GBK" w:cs="Times New Roman"/>
          <w:sz w:val="32"/>
          <w:szCs w:val="32"/>
          <w:lang w:val="en-US" w:eastAsia="zh-CN"/>
        </w:rPr>
        <w:t>市</w:t>
      </w:r>
      <w:r>
        <w:rPr>
          <w:rFonts w:hint="default" w:ascii="Times New Roman" w:hAnsi="Times New Roman" w:eastAsia="方正仿宋_GBK" w:cs="Times New Roman"/>
          <w:sz w:val="32"/>
          <w:szCs w:val="32"/>
        </w:rPr>
        <w:t>级</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两高</w:t>
      </w:r>
      <w:r>
        <w:rPr>
          <w:rFonts w:hint="eastAsia" w:ascii="方正仿宋_GBK" w:hAnsi="方正仿宋_GBK" w:eastAsia="方正仿宋_GBK" w:cs="方正仿宋_GBK"/>
          <w:sz w:val="32"/>
          <w:szCs w:val="32"/>
          <w:lang w:eastAsia="zh-CN"/>
        </w:rPr>
        <w:t>”</w:t>
      </w:r>
      <w:r>
        <w:rPr>
          <w:rFonts w:hint="default" w:ascii="Times New Roman" w:hAnsi="Times New Roman" w:eastAsia="方正仿宋_GBK" w:cs="Times New Roman"/>
          <w:sz w:val="32"/>
          <w:szCs w:val="32"/>
        </w:rPr>
        <w:t>项目范围，动态建立年综合能源消费量5000吨标准煤以下的</w:t>
      </w:r>
      <w:r>
        <w:rPr>
          <w:rFonts w:hint="eastAsia" w:ascii="方正仿宋_GBK" w:hAnsi="方正仿宋_GBK" w:eastAsia="方正仿宋_GBK" w:cs="方正仿宋_GBK"/>
          <w:sz w:val="32"/>
          <w:szCs w:val="32"/>
          <w:lang w:eastAsia="zh-CN"/>
        </w:rPr>
        <w:t>“</w:t>
      </w:r>
      <w:r>
        <w:rPr>
          <w:rFonts w:hint="default" w:ascii="Times New Roman" w:hAnsi="Times New Roman" w:eastAsia="方正仿宋_GBK" w:cs="Times New Roman"/>
          <w:sz w:val="32"/>
          <w:szCs w:val="32"/>
        </w:rPr>
        <w:t>两高</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项目清单。国家</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lang w:val="en-US" w:eastAsia="zh-CN"/>
        </w:rPr>
        <w:t>省</w:t>
      </w:r>
      <w:r>
        <w:rPr>
          <w:rFonts w:hint="default" w:ascii="Times New Roman" w:hAnsi="Times New Roman" w:eastAsia="方正仿宋_GBK" w:cs="Times New Roman"/>
          <w:sz w:val="32"/>
          <w:szCs w:val="32"/>
        </w:rPr>
        <w:t>对</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两高</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项目范围有明确规定或调整的，从其规定。</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新上</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两高</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项目，在报请节能审查时，应当依照国家和省有关规定，提供项目所在地人民政府组织有关单位和行业专家联合论证的项目必要性、可行性报告。</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各地完善</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两高</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项目审批和节能审查协调联动机制，各级住房城乡建设部门在办理施工许可证及电力部门办理供电手续时，对未按规定开展节能审查手续的</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两高</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项目，及时告知同级节能主管部门。</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方正黑体_GBK" w:hAnsi="方正黑体_GBK" w:eastAsia="方正黑体_GBK" w:cs="方正黑体_GBK"/>
          <w:sz w:val="32"/>
          <w:szCs w:val="32"/>
          <w:lang w:val="en-US" w:eastAsia="zh-CN"/>
        </w:rPr>
        <w:t xml:space="preserve">第九条 </w:t>
      </w:r>
      <w:r>
        <w:rPr>
          <w:rFonts w:hint="default" w:ascii="Times New Roman" w:hAnsi="Times New Roman" w:eastAsia="方正仿宋_GBK" w:cs="Times New Roman"/>
          <w:sz w:val="32"/>
          <w:szCs w:val="32"/>
        </w:rPr>
        <w:t xml:space="preserve"> 建设单位应自行编制或委托中介机构编制固定资产投资项目节能报告。项目节能报告应包括下列内容：</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eastAsia" w:ascii="方正楷体_GBK" w:hAnsi="方正楷体_GBK" w:eastAsia="方正楷体_GBK" w:cs="方正楷体_GBK"/>
          <w:sz w:val="32"/>
          <w:szCs w:val="32"/>
        </w:rPr>
        <w:t>（一）</w:t>
      </w:r>
      <w:r>
        <w:rPr>
          <w:rFonts w:hint="default" w:ascii="Times New Roman" w:hAnsi="Times New Roman" w:eastAsia="方正仿宋_GBK" w:cs="Times New Roman"/>
          <w:sz w:val="32"/>
          <w:szCs w:val="32"/>
        </w:rPr>
        <w:t>项目基本情况；</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方正楷体_GBK" w:hAnsi="方正楷体_GBK" w:eastAsia="方正楷体_GBK" w:cs="方正楷体_GBK"/>
          <w:sz w:val="32"/>
          <w:szCs w:val="32"/>
        </w:rPr>
        <w:t>（二）</w:t>
      </w:r>
      <w:r>
        <w:rPr>
          <w:rFonts w:hint="default" w:ascii="Times New Roman" w:hAnsi="Times New Roman" w:eastAsia="方正仿宋_GBK" w:cs="Times New Roman"/>
          <w:sz w:val="32"/>
          <w:szCs w:val="32"/>
        </w:rPr>
        <w:t>分析评价依据；</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方正楷体_GBK" w:hAnsi="方正楷体_GBK" w:eastAsia="方正楷体_GBK" w:cs="方正楷体_GBK"/>
          <w:sz w:val="32"/>
          <w:szCs w:val="32"/>
        </w:rPr>
        <w:t>（三）</w:t>
      </w:r>
      <w:r>
        <w:rPr>
          <w:rFonts w:hint="default" w:ascii="Times New Roman" w:hAnsi="Times New Roman" w:eastAsia="方正仿宋_GBK" w:cs="Times New Roman"/>
          <w:sz w:val="32"/>
          <w:szCs w:val="32"/>
        </w:rPr>
        <w:t>项目建设方案的节能分析和比选，包括总平面布置、生产工艺、用能工艺、用能设备（需明确设备参数）和能源计量器具等方面；</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方正楷体_GBK" w:hAnsi="方正楷体_GBK" w:eastAsia="方正楷体_GBK" w:cs="方正楷体_GBK"/>
          <w:sz w:val="32"/>
          <w:szCs w:val="32"/>
        </w:rPr>
        <w:t>（四）</w:t>
      </w:r>
      <w:r>
        <w:rPr>
          <w:rFonts w:hint="default" w:ascii="Times New Roman" w:hAnsi="Times New Roman" w:eastAsia="方正仿宋_GBK" w:cs="Times New Roman"/>
          <w:sz w:val="32"/>
          <w:szCs w:val="32"/>
        </w:rPr>
        <w:t>选取节能效果好、技术经济可行的节能技术和管理措施；</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方正楷体_GBK" w:hAnsi="方正楷体_GBK" w:eastAsia="方正楷体_GBK" w:cs="方正楷体_GBK"/>
          <w:sz w:val="32"/>
          <w:szCs w:val="32"/>
        </w:rPr>
        <w:t>（五）</w:t>
      </w:r>
      <w:r>
        <w:rPr>
          <w:rFonts w:hint="default" w:ascii="Times New Roman" w:hAnsi="Times New Roman" w:eastAsia="方正仿宋_GBK" w:cs="Times New Roman"/>
          <w:sz w:val="32"/>
          <w:szCs w:val="32"/>
        </w:rPr>
        <w:t>项目能源消费量、能源消费结构、能源利用效率（需明确单位增加值能耗）等方面的分析；</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方正楷体_GBK" w:hAnsi="方正楷体_GBK" w:eastAsia="方正楷体_GBK" w:cs="方正楷体_GBK"/>
          <w:sz w:val="32"/>
          <w:szCs w:val="32"/>
        </w:rPr>
        <w:t>（六）</w:t>
      </w:r>
      <w:r>
        <w:rPr>
          <w:rFonts w:hint="default" w:ascii="Times New Roman" w:hAnsi="Times New Roman" w:eastAsia="方正仿宋_GBK" w:cs="Times New Roman"/>
          <w:sz w:val="32"/>
          <w:szCs w:val="32"/>
        </w:rPr>
        <w:t>对所在地完成能源消耗强度和总量目标、煤炭消费减量替代目标的影响等方面的分析评价。</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其中，</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两高</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项目还应按照国家和省关于坚决遏制</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两高</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项目盲目发展有关政策要求，进行必要性、可行性论证，以及能耗置换和煤炭消费减量替代、能效水平对标《高耗能行业重点领域能效标杆水平和基准水平》等分析。</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方正黑体_GBK" w:hAnsi="方正黑体_GBK" w:eastAsia="方正黑体_GBK" w:cs="方正黑体_GBK"/>
          <w:sz w:val="32"/>
          <w:szCs w:val="32"/>
          <w:lang w:val="en-US" w:eastAsia="zh-CN"/>
        </w:rPr>
        <w:t>第十条</w:t>
      </w:r>
      <w:r>
        <w:rPr>
          <w:rFonts w:hint="default" w:ascii="Times New Roman" w:hAnsi="Times New Roman" w:eastAsia="方正仿宋_GBK" w:cs="Times New Roman"/>
          <w:sz w:val="32"/>
          <w:szCs w:val="32"/>
        </w:rPr>
        <w:t xml:space="preserve">  固定资产投资项目节能审查纳入投资项目在线审批监管平台统一管理，实行网上受理、办理、监管和服务，实现审查过程和结果的可查询、可监督。项目建设单位（涉及国家秘密的除外）需在投资项目在线审批监管平台填报项目年综合能源消费量、能效水平等相关信息。</w:t>
      </w:r>
      <w:r>
        <w:rPr>
          <w:rFonts w:hint="default" w:ascii="Times New Roman" w:hAnsi="Times New Roman" w:eastAsia="方正仿宋_GBK" w:cs="Times New Roman"/>
          <w:sz w:val="32"/>
          <w:szCs w:val="32"/>
          <w:lang w:val="en-US" w:eastAsia="zh-CN"/>
        </w:rPr>
        <w:t>市</w:t>
      </w:r>
      <w:r>
        <w:rPr>
          <w:rFonts w:hint="default" w:ascii="Times New Roman" w:hAnsi="Times New Roman" w:eastAsia="方正仿宋_GBK" w:cs="Times New Roman"/>
          <w:sz w:val="32"/>
          <w:szCs w:val="32"/>
        </w:rPr>
        <w:t>级节能审查资料的受理、节能审查意见的送达，由</w:t>
      </w:r>
      <w:r>
        <w:rPr>
          <w:rFonts w:hint="default" w:ascii="Times New Roman" w:hAnsi="Times New Roman" w:eastAsia="方正仿宋_GBK" w:cs="Times New Roman"/>
          <w:sz w:val="32"/>
          <w:szCs w:val="32"/>
          <w:lang w:val="en-US" w:eastAsia="zh-CN"/>
        </w:rPr>
        <w:t>市</w:t>
      </w:r>
      <w:r>
        <w:rPr>
          <w:rFonts w:hint="default" w:ascii="Times New Roman" w:hAnsi="Times New Roman" w:eastAsia="方正仿宋_GBK" w:cs="Times New Roman"/>
          <w:sz w:val="32"/>
          <w:szCs w:val="32"/>
        </w:rPr>
        <w:t>政府政务服务中心</w:t>
      </w:r>
      <w:r>
        <w:rPr>
          <w:rFonts w:hint="default" w:ascii="Times New Roman" w:hAnsi="Times New Roman" w:eastAsia="方正仿宋_GBK" w:cs="Times New Roman"/>
          <w:sz w:val="32"/>
          <w:szCs w:val="32"/>
          <w:lang w:val="en-US" w:eastAsia="zh-CN"/>
        </w:rPr>
        <w:t>市</w:t>
      </w:r>
      <w:r>
        <w:rPr>
          <w:rFonts w:hint="default" w:ascii="Times New Roman" w:hAnsi="Times New Roman" w:eastAsia="方正仿宋_GBK" w:cs="Times New Roman"/>
          <w:sz w:val="32"/>
          <w:szCs w:val="32"/>
        </w:rPr>
        <w:t>发展改革委窗口负责。</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eastAsia" w:ascii="方正黑体_GBK" w:hAnsi="方正黑体_GBK" w:eastAsia="方正黑体_GBK" w:cs="方正黑体_GBK"/>
          <w:sz w:val="32"/>
          <w:szCs w:val="32"/>
        </w:rPr>
        <w:t>第十</w:t>
      </w:r>
      <w:r>
        <w:rPr>
          <w:rFonts w:hint="eastAsia" w:ascii="方正黑体_GBK" w:hAnsi="方正黑体_GBK" w:eastAsia="方正黑体_GBK" w:cs="方正黑体_GBK"/>
          <w:sz w:val="32"/>
          <w:szCs w:val="32"/>
          <w:lang w:val="en-US" w:eastAsia="zh-CN"/>
        </w:rPr>
        <w:t>一</w:t>
      </w:r>
      <w:r>
        <w:rPr>
          <w:rFonts w:hint="eastAsia" w:ascii="方正黑体_GBK" w:hAnsi="方正黑体_GBK" w:eastAsia="方正黑体_GBK" w:cs="方正黑体_GBK"/>
          <w:sz w:val="32"/>
          <w:szCs w:val="32"/>
        </w:rPr>
        <w:t>条</w:t>
      </w:r>
      <w:r>
        <w:rPr>
          <w:rFonts w:hint="default" w:ascii="Times New Roman" w:hAnsi="Times New Roman" w:eastAsia="方正仿宋_GBK" w:cs="Times New Roman"/>
          <w:sz w:val="32"/>
          <w:szCs w:val="32"/>
        </w:rPr>
        <w:t xml:space="preserve">  政府投资项目，在报请省</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lang w:val="en-US" w:eastAsia="zh-CN"/>
        </w:rPr>
        <w:t>市级</w:t>
      </w:r>
      <w:r>
        <w:rPr>
          <w:rFonts w:hint="default" w:ascii="Times New Roman" w:hAnsi="Times New Roman" w:eastAsia="方正仿宋_GBK" w:cs="Times New Roman"/>
          <w:sz w:val="32"/>
          <w:szCs w:val="32"/>
        </w:rPr>
        <w:t>节能审查时，需提交项目可行性研究报告、节能报告一式</w:t>
      </w:r>
      <w:r>
        <w:rPr>
          <w:rFonts w:hint="default" w:ascii="Times New Roman" w:hAnsi="Times New Roman" w:eastAsia="方正仿宋_GBK" w:cs="Times New Roman"/>
          <w:sz w:val="32"/>
          <w:szCs w:val="32"/>
          <w:lang w:val="en-US" w:eastAsia="zh-CN"/>
        </w:rPr>
        <w:t>2</w:t>
      </w:r>
      <w:r>
        <w:rPr>
          <w:rFonts w:hint="default" w:ascii="Times New Roman" w:hAnsi="Times New Roman" w:eastAsia="方正仿宋_GBK" w:cs="Times New Roman"/>
          <w:sz w:val="32"/>
          <w:szCs w:val="32"/>
        </w:rPr>
        <w:t>份，项目所在</w:t>
      </w:r>
      <w:r>
        <w:rPr>
          <w:rFonts w:hint="default" w:ascii="Times New Roman" w:hAnsi="Times New Roman" w:eastAsia="方正仿宋_GBK" w:cs="Times New Roman"/>
          <w:sz w:val="32"/>
          <w:szCs w:val="32"/>
          <w:lang w:val="en-US" w:eastAsia="zh-CN"/>
        </w:rPr>
        <w:t>地县区、市开发区</w:t>
      </w:r>
      <w:r>
        <w:rPr>
          <w:rFonts w:hint="default" w:ascii="Times New Roman" w:hAnsi="Times New Roman" w:eastAsia="方正仿宋_GBK" w:cs="Times New Roman"/>
          <w:sz w:val="32"/>
          <w:szCs w:val="32"/>
        </w:rPr>
        <w:t>节能审查机关</w:t>
      </w:r>
      <w:r>
        <w:rPr>
          <w:rFonts w:hint="default" w:ascii="Times New Roman" w:hAnsi="Times New Roman" w:eastAsia="方正仿宋_GBK" w:cs="Times New Roman"/>
          <w:sz w:val="32"/>
          <w:szCs w:val="32"/>
          <w:lang w:eastAsia="zh-CN"/>
        </w:rPr>
        <w:t>或</w:t>
      </w:r>
      <w:r>
        <w:rPr>
          <w:rFonts w:hint="default" w:ascii="Times New Roman" w:hAnsi="Times New Roman" w:eastAsia="方正仿宋_GBK" w:cs="Times New Roman"/>
          <w:sz w:val="32"/>
          <w:szCs w:val="32"/>
          <w:lang w:val="en-US" w:eastAsia="zh-CN"/>
        </w:rPr>
        <w:t>市</w:t>
      </w:r>
      <w:r>
        <w:rPr>
          <w:rFonts w:hint="default" w:ascii="Times New Roman" w:hAnsi="Times New Roman" w:eastAsia="方正仿宋_GBK" w:cs="Times New Roman"/>
          <w:sz w:val="32"/>
          <w:szCs w:val="32"/>
        </w:rPr>
        <w:t>有关单位报请节能审查文件一式2份。</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企业投资项目，需提交项目建设基本情况、节能报告一式</w:t>
      </w:r>
      <w:r>
        <w:rPr>
          <w:rFonts w:hint="default" w:ascii="Times New Roman" w:hAnsi="Times New Roman" w:eastAsia="方正仿宋_GBK" w:cs="Times New Roman"/>
          <w:sz w:val="32"/>
          <w:szCs w:val="32"/>
          <w:lang w:val="en-US" w:eastAsia="zh-CN"/>
        </w:rPr>
        <w:t>2</w:t>
      </w:r>
      <w:r>
        <w:rPr>
          <w:rFonts w:hint="default" w:ascii="Times New Roman" w:hAnsi="Times New Roman" w:eastAsia="方正仿宋_GBK" w:cs="Times New Roman"/>
          <w:sz w:val="32"/>
          <w:szCs w:val="32"/>
        </w:rPr>
        <w:t>份，项目所在</w:t>
      </w:r>
      <w:r>
        <w:rPr>
          <w:rFonts w:hint="default" w:ascii="Times New Roman" w:hAnsi="Times New Roman" w:eastAsia="方正仿宋_GBK" w:cs="Times New Roman"/>
          <w:sz w:val="32"/>
          <w:szCs w:val="32"/>
          <w:lang w:val="en-US" w:eastAsia="zh-CN"/>
        </w:rPr>
        <w:t>地县区、市开发区</w:t>
      </w:r>
      <w:r>
        <w:rPr>
          <w:rFonts w:hint="default" w:ascii="Times New Roman" w:hAnsi="Times New Roman" w:eastAsia="方正仿宋_GBK" w:cs="Times New Roman"/>
          <w:sz w:val="32"/>
          <w:szCs w:val="32"/>
        </w:rPr>
        <w:t>节能审查机关</w:t>
      </w:r>
      <w:r>
        <w:rPr>
          <w:rFonts w:hint="default" w:ascii="Times New Roman" w:hAnsi="Times New Roman" w:eastAsia="方正仿宋_GBK" w:cs="Times New Roman"/>
          <w:sz w:val="32"/>
          <w:szCs w:val="32"/>
          <w:lang w:eastAsia="zh-CN"/>
        </w:rPr>
        <w:t>或</w:t>
      </w:r>
      <w:r>
        <w:rPr>
          <w:rFonts w:hint="default" w:ascii="Times New Roman" w:hAnsi="Times New Roman" w:eastAsia="方正仿宋_GBK" w:cs="Times New Roman"/>
          <w:sz w:val="32"/>
          <w:szCs w:val="32"/>
          <w:lang w:val="en-US" w:eastAsia="zh-CN"/>
        </w:rPr>
        <w:t>市</w:t>
      </w:r>
      <w:r>
        <w:rPr>
          <w:rFonts w:hint="default" w:ascii="Times New Roman" w:hAnsi="Times New Roman" w:eastAsia="方正仿宋_GBK" w:cs="Times New Roman"/>
          <w:sz w:val="32"/>
          <w:szCs w:val="32"/>
        </w:rPr>
        <w:t>有关单位报请节能审查文件一式2份。需落实能耗置换或煤炭消费减量替代的项目，应同时提交项目所在</w:t>
      </w:r>
      <w:r>
        <w:rPr>
          <w:rFonts w:hint="default" w:ascii="Times New Roman" w:hAnsi="Times New Roman" w:eastAsia="方正仿宋_GBK" w:cs="Times New Roman"/>
          <w:sz w:val="32"/>
          <w:szCs w:val="32"/>
          <w:lang w:eastAsia="zh-CN"/>
        </w:rPr>
        <w:t>县区</w:t>
      </w:r>
      <w:r>
        <w:rPr>
          <w:rFonts w:hint="default" w:ascii="Times New Roman" w:hAnsi="Times New Roman" w:eastAsia="方正仿宋_GBK" w:cs="Times New Roman"/>
          <w:sz w:val="32"/>
          <w:szCs w:val="32"/>
        </w:rPr>
        <w:t>主管部门出具的能耗置换或煤炭消费减量替代审查意见一式2份。</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方正黑体_GBK" w:hAnsi="方正黑体_GBK" w:eastAsia="方正黑体_GBK" w:cs="方正黑体_GBK"/>
          <w:sz w:val="32"/>
          <w:szCs w:val="32"/>
        </w:rPr>
        <w:t>第十</w:t>
      </w:r>
      <w:r>
        <w:rPr>
          <w:rFonts w:hint="default" w:ascii="方正黑体_GBK" w:hAnsi="方正黑体_GBK" w:eastAsia="方正黑体_GBK" w:cs="方正黑体_GBK"/>
          <w:sz w:val="32"/>
          <w:szCs w:val="32"/>
          <w:lang w:val="en-US" w:eastAsia="zh-CN"/>
        </w:rPr>
        <w:t>二</w:t>
      </w:r>
      <w:r>
        <w:rPr>
          <w:rFonts w:hint="default" w:ascii="方正黑体_GBK" w:hAnsi="方正黑体_GBK" w:eastAsia="方正黑体_GBK" w:cs="方正黑体_GBK"/>
          <w:sz w:val="32"/>
          <w:szCs w:val="32"/>
        </w:rPr>
        <w:t>条</w:t>
      </w:r>
      <w:r>
        <w:rPr>
          <w:rFonts w:hint="default" w:ascii="Times New Roman" w:hAnsi="Times New Roman" w:eastAsia="方正仿宋_GBK" w:cs="Times New Roman"/>
          <w:sz w:val="32"/>
          <w:szCs w:val="32"/>
        </w:rPr>
        <w:t xml:space="preserve">  节能审查机关受理项目节能报告后，应委托有关机构组织专家对节能报告评审，形成专家评审意见，有关机构依据专家评审意见和相关法规、政策、标准、规范形成评审报告，作为节能审查的重要依据。必要时，节能审查机关可组织进行现场核查。节能评审意见应当包括以下内容：</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eastAsia" w:ascii="方正楷体_GBK" w:hAnsi="方正楷体_GBK" w:eastAsia="方正楷体_GBK" w:cs="方正楷体_GBK"/>
          <w:sz w:val="32"/>
          <w:szCs w:val="32"/>
        </w:rPr>
        <w:t>（一）</w:t>
      </w:r>
      <w:r>
        <w:rPr>
          <w:rFonts w:hint="default" w:ascii="Times New Roman" w:hAnsi="Times New Roman" w:eastAsia="方正仿宋_GBK" w:cs="Times New Roman"/>
          <w:sz w:val="32"/>
          <w:szCs w:val="32"/>
        </w:rPr>
        <w:t>项目概况；</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方正楷体_GBK" w:hAnsi="方正楷体_GBK" w:eastAsia="方正楷体_GBK" w:cs="方正楷体_GBK"/>
          <w:sz w:val="32"/>
          <w:szCs w:val="32"/>
        </w:rPr>
        <w:t>（二）</w:t>
      </w:r>
      <w:r>
        <w:rPr>
          <w:rFonts w:hint="default" w:ascii="Times New Roman" w:hAnsi="Times New Roman" w:eastAsia="方正仿宋_GBK" w:cs="Times New Roman"/>
          <w:sz w:val="32"/>
          <w:szCs w:val="32"/>
        </w:rPr>
        <w:t>项目是否符合节能有关法律法规、标准规范、政策；</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方正楷体_GBK" w:hAnsi="方正楷体_GBK" w:eastAsia="方正楷体_GBK" w:cs="方正楷体_GBK"/>
          <w:sz w:val="32"/>
          <w:szCs w:val="32"/>
        </w:rPr>
        <w:t>（三）</w:t>
      </w:r>
      <w:r>
        <w:rPr>
          <w:rFonts w:hint="default" w:ascii="Times New Roman" w:hAnsi="Times New Roman" w:eastAsia="方正仿宋_GBK" w:cs="Times New Roman"/>
          <w:sz w:val="32"/>
          <w:szCs w:val="32"/>
        </w:rPr>
        <w:t>节能报告的内容和深度是否符合要求；</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方正楷体_GBK" w:hAnsi="方正楷体_GBK" w:eastAsia="方正楷体_GBK" w:cs="方正楷体_GBK"/>
          <w:sz w:val="32"/>
          <w:szCs w:val="32"/>
        </w:rPr>
        <w:t>（四）</w:t>
      </w:r>
      <w:r>
        <w:rPr>
          <w:rFonts w:hint="default" w:ascii="Times New Roman" w:hAnsi="Times New Roman" w:eastAsia="方正仿宋_GBK" w:cs="Times New Roman"/>
          <w:sz w:val="32"/>
          <w:szCs w:val="32"/>
        </w:rPr>
        <w:t>项目用能分析是否客观准确，方法是否科学，结论是否准确；</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方正楷体_GBK" w:hAnsi="方正楷体_GBK" w:eastAsia="方正楷体_GBK" w:cs="方正楷体_GBK"/>
          <w:sz w:val="32"/>
          <w:szCs w:val="32"/>
        </w:rPr>
        <w:t>（五）</w:t>
      </w:r>
      <w:r>
        <w:rPr>
          <w:rFonts w:hint="default" w:ascii="Times New Roman" w:hAnsi="Times New Roman" w:eastAsia="方正仿宋_GBK" w:cs="Times New Roman"/>
          <w:sz w:val="32"/>
          <w:szCs w:val="32"/>
        </w:rPr>
        <w:t>节能措施是否合理可行；</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方正楷体_GBK" w:hAnsi="方正楷体_GBK" w:eastAsia="方正楷体_GBK" w:cs="方正楷体_GBK"/>
          <w:sz w:val="32"/>
          <w:szCs w:val="32"/>
        </w:rPr>
        <w:t>（六）</w:t>
      </w:r>
      <w:r>
        <w:rPr>
          <w:rFonts w:hint="default" w:ascii="Times New Roman" w:hAnsi="Times New Roman" w:eastAsia="方正仿宋_GBK" w:cs="Times New Roman"/>
          <w:sz w:val="32"/>
          <w:szCs w:val="32"/>
        </w:rPr>
        <w:t>是否按照规定选用高效节能设备，有无采用明令淘汰的用能设备或者生产工艺的情况；</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方正楷体_GBK" w:hAnsi="方正楷体_GBK" w:eastAsia="方正楷体_GBK" w:cs="方正楷体_GBK"/>
          <w:sz w:val="32"/>
          <w:szCs w:val="32"/>
        </w:rPr>
        <w:t>（七）</w:t>
      </w:r>
      <w:r>
        <w:rPr>
          <w:rFonts w:hint="default" w:ascii="Times New Roman" w:hAnsi="Times New Roman" w:eastAsia="方正仿宋_GBK" w:cs="Times New Roman"/>
          <w:sz w:val="32"/>
          <w:szCs w:val="32"/>
        </w:rPr>
        <w:t>能源消费量和能效水平（包含单位增加值能耗水平）、是否属于</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两高</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项目、涉及高耗能行业的建设项目是否达到标杆水平（相关标准参见《高耗能行业重点领域能效标杆水平和基准水平》）、是否落实能耗置换、煤炭消费减量替代、是否满足本地区能源消费强度和总量双控管理要求；</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方正楷体_GBK" w:hAnsi="方正楷体_GBK" w:eastAsia="方正楷体_GBK" w:cs="方正楷体_GBK"/>
          <w:sz w:val="32"/>
          <w:szCs w:val="32"/>
        </w:rPr>
        <w:t>（八）</w:t>
      </w:r>
      <w:r>
        <w:rPr>
          <w:rFonts w:hint="default" w:ascii="Times New Roman" w:hAnsi="Times New Roman" w:eastAsia="方正仿宋_GBK" w:cs="Times New Roman"/>
          <w:sz w:val="32"/>
          <w:szCs w:val="32"/>
        </w:rPr>
        <w:t>节能方面的相关意见和建议；</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方正楷体_GBK" w:hAnsi="方正楷体_GBK" w:eastAsia="方正楷体_GBK" w:cs="方正楷体_GBK"/>
          <w:sz w:val="32"/>
          <w:szCs w:val="32"/>
        </w:rPr>
        <w:t>（九）</w:t>
      </w:r>
      <w:r>
        <w:rPr>
          <w:rFonts w:hint="default" w:ascii="Times New Roman" w:hAnsi="Times New Roman" w:eastAsia="方正仿宋_GBK" w:cs="Times New Roman"/>
          <w:sz w:val="32"/>
          <w:szCs w:val="32"/>
        </w:rPr>
        <w:t>评审结论。</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受委托组织评审的机构，其关联公司和工作人员不得参与该项目可研、设计和节能报告等文件编制。参与该项目可研、设计和节能报告等文件编制的技术人员和以上文件编制承担单位的工作人员不能作为该节能报告评审专家。</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方正黑体_GBK" w:hAnsi="方正黑体_GBK" w:eastAsia="方正黑体_GBK" w:cs="方正黑体_GBK"/>
          <w:sz w:val="32"/>
          <w:szCs w:val="32"/>
        </w:rPr>
        <w:t>第十</w:t>
      </w:r>
      <w:r>
        <w:rPr>
          <w:rFonts w:hint="default" w:ascii="方正黑体_GBK" w:hAnsi="方正黑体_GBK" w:eastAsia="方正黑体_GBK" w:cs="方正黑体_GBK"/>
          <w:sz w:val="32"/>
          <w:szCs w:val="32"/>
          <w:lang w:val="en-US" w:eastAsia="zh-CN"/>
        </w:rPr>
        <w:t>三</w:t>
      </w:r>
      <w:r>
        <w:rPr>
          <w:rFonts w:hint="default" w:ascii="方正黑体_GBK" w:hAnsi="方正黑体_GBK" w:eastAsia="方正黑体_GBK" w:cs="方正黑体_GBK"/>
          <w:sz w:val="32"/>
          <w:szCs w:val="32"/>
        </w:rPr>
        <w:t xml:space="preserve">条 </w:t>
      </w:r>
      <w:r>
        <w:rPr>
          <w:rFonts w:hint="default" w:ascii="Times New Roman" w:hAnsi="Times New Roman" w:eastAsia="方正仿宋_GBK" w:cs="Times New Roman"/>
          <w:sz w:val="32"/>
          <w:szCs w:val="32"/>
        </w:rPr>
        <w:t xml:space="preserve"> 对能耗强度不降反升的</w:t>
      </w:r>
      <w:r>
        <w:rPr>
          <w:rFonts w:hint="default" w:ascii="Times New Roman" w:hAnsi="Times New Roman" w:eastAsia="方正仿宋_GBK" w:cs="Times New Roman"/>
          <w:sz w:val="32"/>
          <w:szCs w:val="32"/>
          <w:lang w:val="en-US" w:eastAsia="zh-CN"/>
        </w:rPr>
        <w:t>县区</w:t>
      </w:r>
      <w:r>
        <w:rPr>
          <w:rFonts w:hint="default" w:ascii="Times New Roman" w:hAnsi="Times New Roman" w:eastAsia="方正仿宋_GBK" w:cs="Times New Roman"/>
          <w:sz w:val="32"/>
          <w:szCs w:val="32"/>
        </w:rPr>
        <w:t>或未完成</w:t>
      </w:r>
      <w:r>
        <w:rPr>
          <w:rFonts w:hint="default" w:ascii="Times New Roman" w:hAnsi="Times New Roman" w:eastAsia="方正仿宋_GBK" w:cs="Times New Roman"/>
          <w:sz w:val="32"/>
          <w:szCs w:val="32"/>
          <w:lang w:val="en-US" w:eastAsia="zh-CN"/>
        </w:rPr>
        <w:t>市</w:t>
      </w:r>
      <w:r>
        <w:rPr>
          <w:rFonts w:hint="default" w:ascii="Times New Roman" w:hAnsi="Times New Roman" w:eastAsia="方正仿宋_GBK" w:cs="Times New Roman"/>
          <w:sz w:val="32"/>
          <w:szCs w:val="32"/>
        </w:rPr>
        <w:t>政府下达能耗强度降低目标任务的</w:t>
      </w:r>
      <w:r>
        <w:rPr>
          <w:rFonts w:hint="default" w:ascii="Times New Roman" w:hAnsi="Times New Roman" w:eastAsia="方正仿宋_GBK" w:cs="Times New Roman"/>
          <w:sz w:val="32"/>
          <w:szCs w:val="32"/>
          <w:lang w:val="en-US" w:eastAsia="zh-CN"/>
        </w:rPr>
        <w:t>县区</w:t>
      </w:r>
      <w:r>
        <w:rPr>
          <w:rFonts w:hint="default" w:ascii="Times New Roman" w:hAnsi="Times New Roman" w:eastAsia="方正仿宋_GBK" w:cs="Times New Roman"/>
          <w:sz w:val="32"/>
          <w:szCs w:val="32"/>
        </w:rPr>
        <w:t>，实行</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两高</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项目能评缓批限批，直至达到季度进度目标要求。</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eastAsia" w:ascii="方正黑体_GBK" w:hAnsi="方正黑体_GBK" w:eastAsia="方正黑体_GBK" w:cs="方正黑体_GBK"/>
          <w:sz w:val="32"/>
          <w:szCs w:val="32"/>
        </w:rPr>
        <w:t>第十</w:t>
      </w:r>
      <w:r>
        <w:rPr>
          <w:rFonts w:hint="eastAsia" w:ascii="方正黑体_GBK" w:hAnsi="方正黑体_GBK" w:eastAsia="方正黑体_GBK" w:cs="方正黑体_GBK"/>
          <w:sz w:val="32"/>
          <w:szCs w:val="32"/>
          <w:lang w:val="en-US" w:eastAsia="zh-CN"/>
        </w:rPr>
        <w:t>四</w:t>
      </w:r>
      <w:r>
        <w:rPr>
          <w:rFonts w:hint="eastAsia" w:ascii="方正黑体_GBK" w:hAnsi="方正黑体_GBK" w:eastAsia="方正黑体_GBK" w:cs="方正黑体_GBK"/>
          <w:sz w:val="32"/>
          <w:szCs w:val="32"/>
        </w:rPr>
        <w:t>条</w:t>
      </w:r>
      <w:r>
        <w:rPr>
          <w:rFonts w:hint="default" w:ascii="Times New Roman" w:hAnsi="Times New Roman" w:eastAsia="方正仿宋_GBK" w:cs="Times New Roman"/>
          <w:sz w:val="30"/>
          <w:szCs w:val="30"/>
        </w:rPr>
        <w:t xml:space="preserve">  </w:t>
      </w:r>
      <w:r>
        <w:rPr>
          <w:rFonts w:hint="default" w:ascii="Times New Roman" w:hAnsi="Times New Roman" w:eastAsia="方正仿宋_GBK" w:cs="Times New Roman"/>
          <w:sz w:val="32"/>
          <w:szCs w:val="32"/>
        </w:rPr>
        <w:t>有下列情形之一的固定资产投资项目，节能审查不予通过：</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eastAsia" w:ascii="方正楷体_GBK" w:hAnsi="方正楷体_GBK" w:eastAsia="方正楷体_GBK" w:cs="方正楷体_GBK"/>
          <w:sz w:val="32"/>
          <w:szCs w:val="32"/>
        </w:rPr>
        <w:t>（一）</w:t>
      </w:r>
      <w:r>
        <w:rPr>
          <w:rFonts w:hint="default" w:ascii="Times New Roman" w:hAnsi="Times New Roman" w:eastAsia="方正仿宋_GBK" w:cs="Times New Roman"/>
          <w:sz w:val="32"/>
          <w:szCs w:val="32"/>
        </w:rPr>
        <w:t>单位产品能源消耗超过强制性节能标准、本行业能耗限额准入值或不符合本地区相关管理要求的；</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方正楷体_GBK" w:hAnsi="方正楷体_GBK" w:eastAsia="方正楷体_GBK" w:cs="方正楷体_GBK"/>
          <w:sz w:val="32"/>
          <w:szCs w:val="32"/>
        </w:rPr>
        <w:t>（二）</w:t>
      </w:r>
      <w:r>
        <w:rPr>
          <w:rFonts w:hint="default" w:ascii="Times New Roman" w:hAnsi="Times New Roman" w:eastAsia="方正仿宋_GBK" w:cs="Times New Roman"/>
          <w:sz w:val="32"/>
          <w:szCs w:val="32"/>
        </w:rPr>
        <w:t>使用明令禁止使用的用能产品、设备的；</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方正楷体_GBK" w:hAnsi="方正楷体_GBK" w:eastAsia="方正楷体_GBK" w:cs="方正楷体_GBK"/>
          <w:sz w:val="32"/>
          <w:szCs w:val="32"/>
        </w:rPr>
        <w:t>（三）</w:t>
      </w:r>
      <w:r>
        <w:rPr>
          <w:rFonts w:hint="default" w:ascii="Times New Roman" w:hAnsi="Times New Roman" w:eastAsia="方正仿宋_GBK" w:cs="Times New Roman"/>
          <w:sz w:val="32"/>
          <w:szCs w:val="32"/>
        </w:rPr>
        <w:t>不符合本地区能源消费强度和总量双控、煤炭消费减量替代管理要求、未按规定落实能耗置换、煤炭消费减量替代的、涉及高耗能行业的建设项目达不到标杆水平的（相关标准参见《高耗能行业重点领域能效标杆水平和基准水平》）；</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方正楷体_GBK" w:hAnsi="方正楷体_GBK" w:eastAsia="方正楷体_GBK" w:cs="方正楷体_GBK"/>
          <w:sz w:val="32"/>
          <w:szCs w:val="32"/>
        </w:rPr>
        <w:t>（四）</w:t>
      </w:r>
      <w:r>
        <w:rPr>
          <w:rFonts w:hint="default" w:ascii="Times New Roman" w:hAnsi="Times New Roman" w:eastAsia="方正仿宋_GBK" w:cs="Times New Roman"/>
          <w:sz w:val="32"/>
          <w:szCs w:val="32"/>
        </w:rPr>
        <w:t>其他不符合国家和地方节能有关法律法规、标准规范、政策的。</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方正黑体_GBK" w:hAnsi="方正黑体_GBK" w:eastAsia="方正黑体_GBK" w:cs="方正黑体_GBK"/>
          <w:sz w:val="32"/>
          <w:szCs w:val="32"/>
        </w:rPr>
        <w:t>第十</w:t>
      </w:r>
      <w:r>
        <w:rPr>
          <w:rFonts w:hint="default" w:ascii="方正黑体_GBK" w:hAnsi="方正黑体_GBK" w:eastAsia="方正黑体_GBK" w:cs="方正黑体_GBK"/>
          <w:sz w:val="32"/>
          <w:szCs w:val="32"/>
          <w:lang w:val="en-US" w:eastAsia="zh-CN"/>
        </w:rPr>
        <w:t>五</w:t>
      </w:r>
      <w:r>
        <w:rPr>
          <w:rFonts w:hint="default" w:ascii="方正黑体_GBK" w:hAnsi="方正黑体_GBK" w:eastAsia="方正黑体_GBK" w:cs="方正黑体_GBK"/>
          <w:sz w:val="32"/>
          <w:szCs w:val="32"/>
        </w:rPr>
        <w:t xml:space="preserve">条 </w:t>
      </w:r>
      <w:r>
        <w:rPr>
          <w:rFonts w:hint="default" w:ascii="Times New Roman" w:hAnsi="Times New Roman" w:eastAsia="方正仿宋_GBK" w:cs="Times New Roman"/>
          <w:sz w:val="32"/>
          <w:szCs w:val="32"/>
        </w:rPr>
        <w:t xml:space="preserve"> 节能审查机关应在受理固定资产投资项目节能报告后7个工作日内出具节能审查意见（审查机关委托中介服务机构对节能报告进行评审的，评审时间不计入审查期限）。节能审查意见自印发之日起2年内有效，逾期未开工建设的，应重新进行节能审查。</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通过节能审查的固定资产投资项目，项目名称、建设主体等发生变动的，建设单位应向节能审查机关提出变更申请；建设内容、产能规模、能效水平、用能方式等发生重大变动，致使年综合能源消费总量超过节能审查意见确定的能耗总量10%以上的建设单位应当重新编制节能报告，并向原节能审查机关重新申请节能审查。经重新评估和审查并获得通过的，可继续组织项目实施。</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不单独进行节能审查的年综合能源消费量不满1000吨标准煤且年电力消费量不满500万千瓦时的项目，</w:t>
      </w:r>
      <w:r>
        <w:rPr>
          <w:rFonts w:hint="default" w:ascii="Times New Roman" w:hAnsi="Times New Roman" w:eastAsia="方正仿宋_GBK" w:cs="Times New Roman"/>
          <w:sz w:val="32"/>
          <w:szCs w:val="32"/>
          <w:lang w:val="en-US" w:eastAsia="zh-CN"/>
        </w:rPr>
        <w:t>其</w:t>
      </w:r>
      <w:r>
        <w:rPr>
          <w:rFonts w:hint="default" w:ascii="Times New Roman" w:hAnsi="Times New Roman" w:eastAsia="方正仿宋_GBK" w:cs="Times New Roman"/>
          <w:sz w:val="32"/>
          <w:szCs w:val="32"/>
        </w:rPr>
        <w:t>建设内容、能效水平等发生变动，使年综合能源消费量超过1000吨标准煤或者年电力消费量超过500万千瓦时的，建设单位应申请节能审查。</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eastAsia" w:ascii="方正黑体_GBK" w:hAnsi="方正黑体_GBK" w:eastAsia="方正黑体_GBK" w:cs="方正黑体_GBK"/>
          <w:sz w:val="32"/>
          <w:szCs w:val="32"/>
        </w:rPr>
        <w:t>第十</w:t>
      </w:r>
      <w:r>
        <w:rPr>
          <w:rFonts w:hint="eastAsia" w:ascii="方正黑体_GBK" w:hAnsi="方正黑体_GBK" w:eastAsia="方正黑体_GBK" w:cs="方正黑体_GBK"/>
          <w:sz w:val="32"/>
          <w:szCs w:val="32"/>
          <w:lang w:val="en-US" w:eastAsia="zh-CN"/>
        </w:rPr>
        <w:t>六</w:t>
      </w:r>
      <w:r>
        <w:rPr>
          <w:rFonts w:hint="eastAsia" w:ascii="方正黑体_GBK" w:hAnsi="方正黑体_GBK" w:eastAsia="方正黑体_GBK" w:cs="方正黑体_GBK"/>
          <w:sz w:val="32"/>
          <w:szCs w:val="32"/>
        </w:rPr>
        <w:t>条</w:t>
      </w:r>
      <w:r>
        <w:rPr>
          <w:rFonts w:hint="default" w:ascii="Times New Roman" w:hAnsi="Times New Roman" w:eastAsia="方正仿宋_GBK" w:cs="Times New Roman"/>
          <w:sz w:val="32"/>
          <w:szCs w:val="32"/>
        </w:rPr>
        <w:t xml:space="preserve">  固定资产投资项目投入生产、使用前，建设单位应对其节能审查意见落实情况进行验收，验收人员应由具备节能验收工作能力的专业技术人员组成。项目通过节能验收后，建设单位应当将节能验收报告、验收意见在20个工作日内告知出具节能审查意见的节能审查机关。未经节能验收或者验收不合格的项目，建设单位不得擅自投入生产、使用，在完成整改后再次组织节能验收。</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验收内容主要包括：依据项目实际建成情况，测算项目年综合能源消费量、煤炭消费量及能耗置换、煤炭消费减量替代方案是否满足节能审查</w:t>
      </w:r>
      <w:r>
        <w:rPr>
          <w:rFonts w:hint="default" w:ascii="Times New Roman" w:hAnsi="Times New Roman" w:eastAsia="方正仿宋_GBK" w:cs="Times New Roman"/>
          <w:sz w:val="32"/>
          <w:szCs w:val="32"/>
          <w:lang w:eastAsia="zh-CN"/>
        </w:rPr>
        <w:t>意见</w:t>
      </w:r>
      <w:r>
        <w:rPr>
          <w:rFonts w:hint="default" w:ascii="Times New Roman" w:hAnsi="Times New Roman" w:eastAsia="方正仿宋_GBK" w:cs="Times New Roman"/>
          <w:sz w:val="32"/>
          <w:szCs w:val="32"/>
        </w:rPr>
        <w:t>要求；以节能审查意见批复时确定的项目主要能效指标或主要工序（装置）能效指标，对照项目的性能试验数据或运行数据等，验收项目的主要能效指标是否落实节能审查</w:t>
      </w:r>
      <w:r>
        <w:rPr>
          <w:rFonts w:hint="default" w:ascii="Times New Roman" w:hAnsi="Times New Roman" w:eastAsia="方正仿宋_GBK" w:cs="Times New Roman"/>
          <w:sz w:val="32"/>
          <w:szCs w:val="32"/>
          <w:lang w:eastAsia="zh-CN"/>
        </w:rPr>
        <w:t>意见</w:t>
      </w:r>
      <w:r>
        <w:rPr>
          <w:rFonts w:hint="default" w:ascii="Times New Roman" w:hAnsi="Times New Roman" w:eastAsia="方正仿宋_GBK" w:cs="Times New Roman"/>
          <w:sz w:val="32"/>
          <w:szCs w:val="32"/>
        </w:rPr>
        <w:t>要求；项目建设规模、主要用能工艺以及主要用能设备、通用设备等的数量、型号、能效等是否落实节能审查意见要求；项目节能技术和管理措施是否落实节能审查意见要求；项目能源计量器具配备情况是否落实节能审查意见要求等。</w:t>
      </w:r>
    </w:p>
    <w:p>
      <w:pPr>
        <w:keepNext w:val="0"/>
        <w:keepLines w:val="0"/>
        <w:pageBreakBefore w:val="0"/>
        <w:numPr>
          <w:ilvl w:val="0"/>
          <w:numId w:val="0"/>
        </w:numPr>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eastAsia" w:ascii="方正黑体_GBK" w:hAnsi="方正黑体_GBK" w:eastAsia="方正黑体_GBK" w:cs="方正黑体_GBK"/>
          <w:sz w:val="32"/>
          <w:szCs w:val="32"/>
        </w:rPr>
        <w:t>第十</w:t>
      </w:r>
      <w:r>
        <w:rPr>
          <w:rFonts w:hint="eastAsia" w:ascii="方正黑体_GBK" w:hAnsi="方正黑体_GBK" w:eastAsia="方正黑体_GBK" w:cs="方正黑体_GBK"/>
          <w:sz w:val="32"/>
          <w:szCs w:val="32"/>
          <w:lang w:val="en-US" w:eastAsia="zh-CN"/>
        </w:rPr>
        <w:t>七</w:t>
      </w:r>
      <w:r>
        <w:rPr>
          <w:rFonts w:hint="eastAsia" w:ascii="方正黑体_GBK" w:hAnsi="方正黑体_GBK" w:eastAsia="方正黑体_GBK" w:cs="方正黑体_GBK"/>
          <w:sz w:val="32"/>
          <w:szCs w:val="32"/>
        </w:rPr>
        <w:t xml:space="preserve">条 </w:t>
      </w:r>
      <w:r>
        <w:rPr>
          <w:rFonts w:hint="default"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rPr>
        <w:t>节能审查机关应加强节能审查信息的统计分析，强化事中事后监管，对节能审查意见落实情况进行监督检查，或委托第三方专业技术机构进行核查。各级节能审查机关应在出具节能审查意见10日内通过全省节能审查信息在线填报系统报送项目有关情况。</w:t>
      </w:r>
    </w:p>
    <w:p>
      <w:pPr>
        <w:keepNext w:val="0"/>
        <w:keepLines w:val="0"/>
        <w:pageBreakBefore w:val="0"/>
        <w:numPr>
          <w:ilvl w:val="0"/>
          <w:numId w:val="0"/>
        </w:numPr>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val="en-US" w:eastAsia="zh-CN"/>
        </w:rPr>
        <w:t>市</w:t>
      </w:r>
      <w:r>
        <w:rPr>
          <w:rFonts w:hint="default" w:ascii="Times New Roman" w:hAnsi="Times New Roman" w:eastAsia="方正仿宋_GBK" w:cs="Times New Roman"/>
          <w:sz w:val="32"/>
          <w:szCs w:val="32"/>
        </w:rPr>
        <w:t>发展改革委实施</w:t>
      </w:r>
      <w:r>
        <w:rPr>
          <w:rFonts w:hint="default" w:ascii="Times New Roman" w:hAnsi="Times New Roman" w:eastAsia="方正仿宋_GBK" w:cs="Times New Roman"/>
          <w:sz w:val="32"/>
          <w:szCs w:val="32"/>
          <w:lang w:val="en-US" w:eastAsia="zh-CN"/>
        </w:rPr>
        <w:t>全市</w:t>
      </w:r>
      <w:r>
        <w:rPr>
          <w:rFonts w:hint="default" w:ascii="Times New Roman" w:hAnsi="Times New Roman" w:eastAsia="方正仿宋_GBK" w:cs="Times New Roman"/>
          <w:sz w:val="32"/>
          <w:szCs w:val="32"/>
        </w:rPr>
        <w:t>节能审查信息动态监管，对各</w:t>
      </w:r>
      <w:r>
        <w:rPr>
          <w:rFonts w:hint="default" w:ascii="Times New Roman" w:hAnsi="Times New Roman" w:eastAsia="方正仿宋_GBK" w:cs="Times New Roman"/>
          <w:sz w:val="32"/>
          <w:szCs w:val="32"/>
          <w:lang w:eastAsia="zh-CN"/>
        </w:rPr>
        <w:t>县区</w:t>
      </w:r>
      <w:r>
        <w:rPr>
          <w:rFonts w:hint="default" w:ascii="Times New Roman" w:hAnsi="Times New Roman" w:eastAsia="方正仿宋_GBK" w:cs="Times New Roman"/>
          <w:sz w:val="32"/>
          <w:szCs w:val="32"/>
        </w:rPr>
        <w:t>节能审查实施情况进行定期巡查，对重大项目节能审查意见落实情况进行不定期抽查，对违法违规问题进行公开，并依法给予行政处罚。</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方正黑体_GBK" w:hAnsi="方正黑体_GBK" w:eastAsia="方正黑体_GBK" w:cs="方正黑体_GBK"/>
          <w:sz w:val="32"/>
          <w:szCs w:val="32"/>
        </w:rPr>
        <w:t>第十</w:t>
      </w:r>
      <w:r>
        <w:rPr>
          <w:rFonts w:hint="default" w:ascii="方正黑体_GBK" w:hAnsi="方正黑体_GBK" w:eastAsia="方正黑体_GBK" w:cs="方正黑体_GBK"/>
          <w:sz w:val="32"/>
          <w:szCs w:val="32"/>
          <w:lang w:val="en-US" w:eastAsia="zh-CN"/>
        </w:rPr>
        <w:t>八</w:t>
      </w:r>
      <w:r>
        <w:rPr>
          <w:rFonts w:hint="default" w:ascii="方正黑体_GBK" w:hAnsi="方正黑体_GBK" w:eastAsia="方正黑体_GBK" w:cs="方正黑体_GBK"/>
          <w:sz w:val="32"/>
          <w:szCs w:val="32"/>
        </w:rPr>
        <w:t>条</w:t>
      </w:r>
      <w:r>
        <w:rPr>
          <w:rFonts w:hint="default" w:ascii="Times New Roman" w:hAnsi="Times New Roman" w:eastAsia="方正仿宋_GBK" w:cs="Times New Roman"/>
          <w:sz w:val="32"/>
          <w:szCs w:val="32"/>
        </w:rPr>
        <w:t xml:space="preserve">  对未按本实施办法规定进行节能审查，或节能审查未获通过，擅自开工建设或擅自投入生产、使用的固定资产投资项目，由节能审查机关责令停止建设或停止生产、使用，限期改造；不能改造或逾期不改造的生产性项目，由节能审查机关报请本级人民政府按照国务院规定的权限责令关闭；并依法追究有关责任人的责任。</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以拆分项目、提供虚假材料等不正当手段通过节能审查的固定资产投资项目，由节能审查机关撤销项目的节能审查意见。</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未落实节能审查意见要求的固定资产投资项目，节能审查机关责令建设单位限期整改。不能改正或逾期不改正的，节能审查机关按照法律法规的有关规定进行处罚，并撤销项目的节能审查意见。</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负责审批政府投资项目的工作人员，对未进行节能审查或节能审查未获通过的固定资产投资项目，违反本实施办法规定予以批准的，依法追究有关人员责任。</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方正黑体_GBK" w:hAnsi="方正黑体_GBK" w:eastAsia="方正黑体_GBK" w:cs="方正黑体_GBK"/>
          <w:sz w:val="32"/>
          <w:szCs w:val="32"/>
        </w:rPr>
        <w:t>第十</w:t>
      </w:r>
      <w:r>
        <w:rPr>
          <w:rFonts w:hint="default" w:ascii="方正黑体_GBK" w:hAnsi="方正黑体_GBK" w:eastAsia="方正黑体_GBK" w:cs="方正黑体_GBK"/>
          <w:sz w:val="32"/>
          <w:szCs w:val="32"/>
          <w:lang w:val="en-US" w:eastAsia="zh-CN"/>
        </w:rPr>
        <w:t>九</w:t>
      </w:r>
      <w:r>
        <w:rPr>
          <w:rFonts w:hint="default" w:ascii="方正黑体_GBK" w:hAnsi="方正黑体_GBK" w:eastAsia="方正黑体_GBK" w:cs="方正黑体_GBK"/>
          <w:sz w:val="32"/>
          <w:szCs w:val="32"/>
        </w:rPr>
        <w:t xml:space="preserve">条 </w:t>
      </w:r>
      <w:r>
        <w:rPr>
          <w:rFonts w:hint="default" w:ascii="Times New Roman" w:hAnsi="Times New Roman" w:eastAsia="方正仿宋_GBK" w:cs="Times New Roman"/>
          <w:sz w:val="32"/>
          <w:szCs w:val="32"/>
        </w:rPr>
        <w:t xml:space="preserve"> 节能审查机关对建设单位、中介机构等的违法违规信息进行记录，将违法违规信息纳入省公共信用信息共享服务平台和投资项目审批监管平台，在</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信用</w:t>
      </w:r>
      <w:r>
        <w:rPr>
          <w:rFonts w:hint="default" w:ascii="Times New Roman" w:hAnsi="Times New Roman" w:eastAsia="方正仿宋_GBK" w:cs="Times New Roman"/>
          <w:sz w:val="32"/>
          <w:szCs w:val="32"/>
          <w:lang w:val="en-US" w:eastAsia="zh-CN"/>
        </w:rPr>
        <w:t>六安</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等网站向社会公开。</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方正黑体_GBK" w:hAnsi="方正黑体_GBK" w:eastAsia="方正黑体_GBK" w:cs="方正黑体_GBK"/>
          <w:sz w:val="32"/>
          <w:szCs w:val="32"/>
        </w:rPr>
        <w:t>第</w:t>
      </w:r>
      <w:r>
        <w:rPr>
          <w:rFonts w:hint="default" w:ascii="方正黑体_GBK" w:hAnsi="方正黑体_GBK" w:eastAsia="方正黑体_GBK" w:cs="方正黑体_GBK"/>
          <w:sz w:val="32"/>
          <w:szCs w:val="32"/>
          <w:lang w:val="en-US" w:eastAsia="zh-CN"/>
        </w:rPr>
        <w:t>二十</w:t>
      </w:r>
      <w:r>
        <w:rPr>
          <w:rFonts w:hint="default" w:ascii="方正黑体_GBK" w:hAnsi="方正黑体_GBK" w:eastAsia="方正黑体_GBK" w:cs="方正黑体_GBK"/>
          <w:sz w:val="32"/>
          <w:szCs w:val="32"/>
        </w:rPr>
        <w:t xml:space="preserve">条 </w:t>
      </w:r>
      <w:r>
        <w:rPr>
          <w:rFonts w:hint="default" w:ascii="Times New Roman" w:hAnsi="Times New Roman" w:eastAsia="方正仿宋_GBK" w:cs="Times New Roman"/>
          <w:sz w:val="32"/>
          <w:szCs w:val="32"/>
        </w:rPr>
        <w:t xml:space="preserve"> 固定资产投资项目节能评审、业务培训、监督检查、行政执法等工作经费，按照国家</w:t>
      </w:r>
      <w:r>
        <w:rPr>
          <w:rFonts w:hint="default" w:ascii="Times New Roman" w:hAnsi="Times New Roman" w:eastAsia="方正仿宋_GBK" w:cs="Times New Roman"/>
          <w:sz w:val="32"/>
          <w:szCs w:val="32"/>
          <w:lang w:eastAsia="zh-CN"/>
        </w:rPr>
        <w:t>和省</w:t>
      </w:r>
      <w:r>
        <w:rPr>
          <w:rFonts w:hint="default" w:ascii="Times New Roman" w:hAnsi="Times New Roman" w:eastAsia="方正仿宋_GBK" w:cs="Times New Roman"/>
          <w:sz w:val="32"/>
          <w:szCs w:val="32"/>
        </w:rPr>
        <w:t>有关规定纳入节能审查部门预算，并按照规定程序向同级财政部门申请。</w:t>
      </w:r>
    </w:p>
    <w:p>
      <w:pPr>
        <w:keepNext w:val="0"/>
        <w:keepLines w:val="0"/>
        <w:pageBreakBefore w:val="0"/>
        <w:kinsoku/>
        <w:overflowPunct/>
        <w:topLinePunct w:val="0"/>
        <w:bidi w:val="0"/>
        <w:snapToGrid/>
        <w:spacing w:line="590" w:lineRule="exact"/>
        <w:ind w:firstLine="608" w:firstLineChars="200"/>
        <w:outlineLvl w:val="9"/>
        <w:rPr>
          <w:rFonts w:hint="default" w:ascii="Times New Roman" w:hAnsi="Times New Roman" w:eastAsia="方正仿宋_GBK" w:cs="Times New Roman"/>
          <w:sz w:val="32"/>
          <w:szCs w:val="32"/>
        </w:rPr>
      </w:pPr>
      <w:r>
        <w:rPr>
          <w:rFonts w:hint="default" w:ascii="方正黑体_GBK" w:hAnsi="方正黑体_GBK" w:eastAsia="方正黑体_GBK" w:cs="方正黑体_GBK"/>
          <w:sz w:val="32"/>
          <w:szCs w:val="32"/>
        </w:rPr>
        <w:t>第二十</w:t>
      </w:r>
      <w:r>
        <w:rPr>
          <w:rFonts w:hint="default" w:ascii="方正黑体_GBK" w:hAnsi="方正黑体_GBK" w:eastAsia="方正黑体_GBK" w:cs="方正黑体_GBK"/>
          <w:sz w:val="32"/>
          <w:szCs w:val="32"/>
          <w:lang w:val="en-US" w:eastAsia="zh-CN"/>
        </w:rPr>
        <w:t>一</w:t>
      </w:r>
      <w:r>
        <w:rPr>
          <w:rFonts w:hint="default" w:ascii="方正黑体_GBK" w:hAnsi="方正黑体_GBK" w:eastAsia="方正黑体_GBK" w:cs="方正黑体_GBK"/>
          <w:sz w:val="32"/>
          <w:szCs w:val="32"/>
        </w:rPr>
        <w:t>条</w:t>
      </w:r>
      <w:r>
        <w:rPr>
          <w:rFonts w:hint="default" w:ascii="Times New Roman" w:hAnsi="Times New Roman" w:eastAsia="方正仿宋_GBK" w:cs="Times New Roman"/>
          <w:sz w:val="32"/>
          <w:szCs w:val="32"/>
        </w:rPr>
        <w:t xml:space="preserve">  </w:t>
      </w:r>
      <w:r>
        <w:rPr>
          <w:rFonts w:hint="default" w:ascii="Times New Roman" w:hAnsi="Times New Roman" w:eastAsia="方正仿宋_GBK" w:cs="Times New Roman"/>
          <w:sz w:val="32"/>
          <w:szCs w:val="32"/>
          <w:lang w:val="en-US" w:eastAsia="zh-CN"/>
        </w:rPr>
        <w:t>各县区、市开发区</w:t>
      </w:r>
      <w:r>
        <w:rPr>
          <w:rFonts w:hint="default" w:ascii="Times New Roman" w:hAnsi="Times New Roman" w:eastAsia="方正仿宋_GBK" w:cs="Times New Roman"/>
          <w:sz w:val="32"/>
          <w:szCs w:val="32"/>
        </w:rPr>
        <w:t>节能审查机关可根据《中华人民共和国节约能源法》《固定资产投资项目节能审查办法》（国家发展和改革委员会第44号令）</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《安徽省固定资产投资项目节能审查实施办法（暂行）》</w:t>
      </w:r>
      <w:r>
        <w:rPr>
          <w:rFonts w:hint="default" w:ascii="Times New Roman" w:hAnsi="Times New Roman" w:eastAsia="方正仿宋_GBK" w:cs="Times New Roman"/>
          <w:sz w:val="32"/>
          <w:szCs w:val="32"/>
          <w:lang w:eastAsia="zh-CN"/>
        </w:rPr>
        <w:t>（皖发改环资规〔2021〕8号）</w:t>
      </w:r>
      <w:r>
        <w:rPr>
          <w:rFonts w:hint="default" w:ascii="Times New Roman" w:hAnsi="Times New Roman" w:eastAsia="方正仿宋_GBK" w:cs="Times New Roman"/>
          <w:sz w:val="32"/>
          <w:szCs w:val="32"/>
        </w:rPr>
        <w:t>和本实施办法，制定具体实施办法。</w:t>
      </w:r>
    </w:p>
    <w:p>
      <w:pPr>
        <w:keepNext w:val="0"/>
        <w:keepLines w:val="0"/>
        <w:pageBreakBefore w:val="0"/>
        <w:kinsoku/>
        <w:overflowPunct/>
        <w:topLinePunct w:val="0"/>
        <w:bidi w:val="0"/>
        <w:snapToGrid/>
        <w:spacing w:line="590" w:lineRule="exact"/>
        <w:ind w:firstLine="608" w:firstLineChars="200"/>
        <w:textAlignment w:val="baseline"/>
        <w:outlineLvl w:val="9"/>
        <w:rPr>
          <w:rFonts w:hint="default" w:ascii="Times New Roman" w:hAnsi="Times New Roman" w:eastAsia="方正仿宋_GBK" w:cs="Times New Roman"/>
          <w:sz w:val="32"/>
          <w:szCs w:val="32"/>
        </w:rPr>
      </w:pPr>
      <w:r>
        <w:rPr>
          <w:rFonts w:hint="default" w:ascii="方正黑体_GBK" w:hAnsi="方正黑体_GBK" w:eastAsia="方正黑体_GBK" w:cs="方正黑体_GBK"/>
          <w:sz w:val="32"/>
          <w:szCs w:val="32"/>
        </w:rPr>
        <w:t>第二十</w:t>
      </w:r>
      <w:r>
        <w:rPr>
          <w:rFonts w:hint="default" w:ascii="方正黑体_GBK" w:hAnsi="方正黑体_GBK" w:eastAsia="方正黑体_GBK" w:cs="方正黑体_GBK"/>
          <w:sz w:val="32"/>
          <w:szCs w:val="32"/>
          <w:lang w:val="en-US" w:eastAsia="zh-CN"/>
        </w:rPr>
        <w:t>二</w:t>
      </w:r>
      <w:r>
        <w:rPr>
          <w:rFonts w:hint="default" w:ascii="方正黑体_GBK" w:hAnsi="方正黑体_GBK" w:eastAsia="方正黑体_GBK" w:cs="方正黑体_GBK"/>
          <w:sz w:val="32"/>
          <w:szCs w:val="32"/>
        </w:rPr>
        <w:t xml:space="preserve">条 </w:t>
      </w:r>
      <w:r>
        <w:rPr>
          <w:rFonts w:hint="default" w:ascii="Times New Roman" w:hAnsi="Times New Roman" w:eastAsia="方正仿宋_GBK" w:cs="Times New Roman"/>
          <w:sz w:val="32"/>
          <w:szCs w:val="32"/>
        </w:rPr>
        <w:t xml:space="preserve"> 本实施办法由</w:t>
      </w:r>
      <w:r>
        <w:rPr>
          <w:rFonts w:hint="default" w:ascii="Times New Roman" w:hAnsi="Times New Roman" w:eastAsia="方正仿宋_GBK" w:cs="Times New Roman"/>
          <w:sz w:val="32"/>
          <w:szCs w:val="32"/>
          <w:lang w:val="en-US" w:eastAsia="zh-CN"/>
        </w:rPr>
        <w:t>市</w:t>
      </w:r>
      <w:r>
        <w:rPr>
          <w:rFonts w:hint="default" w:ascii="Times New Roman" w:hAnsi="Times New Roman" w:eastAsia="方正仿宋_GBK" w:cs="Times New Roman"/>
          <w:sz w:val="32"/>
          <w:szCs w:val="32"/>
        </w:rPr>
        <w:t>发展改革委负责解释</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自印发之日起施行。原《</w:t>
      </w:r>
      <w:r>
        <w:rPr>
          <w:rFonts w:hint="default" w:ascii="Times New Roman" w:hAnsi="Times New Roman" w:eastAsia="方正仿宋_GBK" w:cs="Times New Roman"/>
          <w:sz w:val="32"/>
          <w:szCs w:val="32"/>
          <w:lang w:val="en-US" w:eastAsia="zh-CN"/>
        </w:rPr>
        <w:t>六安市</w:t>
      </w:r>
      <w:r>
        <w:rPr>
          <w:rFonts w:hint="default" w:ascii="Times New Roman" w:hAnsi="Times New Roman" w:eastAsia="方正仿宋_GBK" w:cs="Times New Roman"/>
          <w:sz w:val="32"/>
          <w:szCs w:val="32"/>
        </w:rPr>
        <w:t>固定资产投资项目节能审查实施办法》（</w:t>
      </w:r>
      <w:r>
        <w:rPr>
          <w:rFonts w:hint="default" w:ascii="Times New Roman" w:hAnsi="Times New Roman" w:eastAsia="方正仿宋_GBK" w:cs="Times New Roman"/>
          <w:sz w:val="32"/>
          <w:szCs w:val="32"/>
          <w:lang w:val="en-US" w:eastAsia="zh-CN"/>
        </w:rPr>
        <w:t>六</w:t>
      </w:r>
      <w:r>
        <w:rPr>
          <w:rFonts w:hint="default" w:ascii="Times New Roman" w:hAnsi="Times New Roman" w:eastAsia="方正仿宋_GBK" w:cs="Times New Roman"/>
          <w:sz w:val="32"/>
          <w:szCs w:val="32"/>
        </w:rPr>
        <w:t>发改环资规〔201</w:t>
      </w:r>
      <w:r>
        <w:rPr>
          <w:rFonts w:hint="default" w:ascii="Times New Roman" w:hAnsi="Times New Roman" w:eastAsia="方正仿宋_GBK" w:cs="Times New Roman"/>
          <w:sz w:val="32"/>
          <w:szCs w:val="32"/>
          <w:lang w:val="en-US" w:eastAsia="zh-CN"/>
        </w:rPr>
        <w:t>8</w:t>
      </w:r>
      <w:r>
        <w:rPr>
          <w:rFonts w:hint="default" w:ascii="Times New Roman" w:hAnsi="Times New Roman" w:eastAsia="方正仿宋_GBK" w:cs="Times New Roman"/>
          <w:sz w:val="32"/>
          <w:szCs w:val="32"/>
        </w:rPr>
        <w:t>〕</w:t>
      </w:r>
      <w:r>
        <w:rPr>
          <w:rFonts w:hint="default" w:ascii="Times New Roman" w:hAnsi="Times New Roman" w:eastAsia="方正仿宋_GBK" w:cs="Times New Roman"/>
          <w:sz w:val="32"/>
          <w:szCs w:val="32"/>
          <w:lang w:val="en-US" w:eastAsia="zh-CN"/>
        </w:rPr>
        <w:t>1</w:t>
      </w:r>
      <w:r>
        <w:rPr>
          <w:rFonts w:hint="default" w:ascii="Times New Roman" w:hAnsi="Times New Roman" w:eastAsia="方正仿宋_GBK" w:cs="Times New Roman"/>
          <w:sz w:val="32"/>
          <w:szCs w:val="32"/>
        </w:rPr>
        <w:t>号）同时废止。国家</w:t>
      </w:r>
      <w:r>
        <w:rPr>
          <w:rFonts w:hint="default" w:ascii="Times New Roman" w:hAnsi="Times New Roman" w:eastAsia="方正仿宋_GBK" w:cs="Times New Roman"/>
          <w:sz w:val="32"/>
          <w:szCs w:val="32"/>
          <w:lang w:val="en-US" w:eastAsia="zh-CN"/>
        </w:rPr>
        <w:t>和省</w:t>
      </w:r>
      <w:r>
        <w:rPr>
          <w:rFonts w:hint="default" w:ascii="Times New Roman" w:hAnsi="Times New Roman" w:eastAsia="方正仿宋_GBK" w:cs="Times New Roman"/>
          <w:sz w:val="32"/>
          <w:szCs w:val="32"/>
        </w:rPr>
        <w:t>有新规定的，按照新的规定执行。</w:t>
      </w:r>
    </w:p>
    <w:p>
      <w:pPr>
        <w:keepNext w:val="0"/>
        <w:keepLines w:val="0"/>
        <w:pageBreakBefore w:val="0"/>
        <w:kinsoku/>
        <w:overflowPunct/>
        <w:topLinePunct w:val="0"/>
        <w:bidi w:val="0"/>
        <w:snapToGrid/>
        <w:spacing w:line="590" w:lineRule="exact"/>
        <w:textAlignment w:val="baseline"/>
        <w:outlineLvl w:val="9"/>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rPr>
        <w:br w:type="page"/>
      </w:r>
      <w:r>
        <w:rPr>
          <w:rFonts w:hint="eastAsia" w:ascii="方正仿宋_GBK" w:hAnsi="方正仿宋_GBK" w:eastAsia="方正仿宋_GBK" w:cs="方正仿宋_GBK"/>
          <w:sz w:val="32"/>
          <w:szCs w:val="32"/>
        </w:rPr>
        <w:t>附件</w:t>
      </w:r>
    </w:p>
    <w:p>
      <w:pPr>
        <w:keepNext w:val="0"/>
        <w:keepLines w:val="0"/>
        <w:pageBreakBefore w:val="0"/>
        <w:kinsoku/>
        <w:overflowPunct/>
        <w:topLinePunct w:val="0"/>
        <w:bidi w:val="0"/>
        <w:snapToGrid/>
        <w:spacing w:line="590" w:lineRule="exact"/>
        <w:outlineLvl w:val="9"/>
        <w:rPr>
          <w:rFonts w:hint="default" w:ascii="Times New Roman" w:hAnsi="Times New Roman" w:eastAsia="方正仿宋_GBK" w:cs="Times New Roman"/>
          <w:sz w:val="32"/>
          <w:szCs w:val="32"/>
        </w:rPr>
      </w:pPr>
    </w:p>
    <w:p>
      <w:pPr>
        <w:keepNext w:val="0"/>
        <w:keepLines w:val="0"/>
        <w:pageBreakBefore w:val="0"/>
        <w:kinsoku/>
        <w:overflowPunct/>
        <w:topLinePunct w:val="0"/>
        <w:bidi w:val="0"/>
        <w:snapToGrid/>
        <w:spacing w:line="590" w:lineRule="exact"/>
        <w:jc w:val="center"/>
        <w:outlineLvl w:val="9"/>
        <w:rPr>
          <w:rFonts w:hint="default" w:ascii="Times New Roman" w:hAnsi="Times New Roman" w:eastAsia="方正仿宋_GBK" w:cs="Times New Roman"/>
          <w:sz w:val="44"/>
          <w:szCs w:val="44"/>
        </w:rPr>
      </w:pPr>
      <w:r>
        <w:rPr>
          <w:rFonts w:hint="eastAsia" w:ascii="方正小标宋_GBK" w:hAnsi="方正小标宋_GBK" w:eastAsia="方正小标宋_GBK" w:cs="方正小标宋_GBK"/>
          <w:sz w:val="44"/>
          <w:szCs w:val="44"/>
        </w:rPr>
        <w:t>固定资产投资项目节能承诺表</w:t>
      </w:r>
    </w:p>
    <w:p>
      <w:pPr>
        <w:keepNext w:val="0"/>
        <w:keepLines w:val="0"/>
        <w:pageBreakBefore w:val="0"/>
        <w:kinsoku/>
        <w:overflowPunct/>
        <w:topLinePunct w:val="0"/>
        <w:bidi w:val="0"/>
        <w:snapToGrid/>
        <w:spacing w:line="590" w:lineRule="exact"/>
        <w:outlineLvl w:val="9"/>
        <w:rPr>
          <w:rFonts w:hint="default" w:ascii="Times New Roman" w:hAnsi="Times New Roman" w:eastAsia="方正仿宋_GBK" w:cs="Times New Roman"/>
          <w:sz w:val="24"/>
        </w:rPr>
      </w:pPr>
    </w:p>
    <w:p>
      <w:pPr>
        <w:keepNext w:val="0"/>
        <w:keepLines w:val="0"/>
        <w:pageBreakBefore w:val="0"/>
        <w:kinsoku/>
        <w:overflowPunct/>
        <w:topLinePunct w:val="0"/>
        <w:bidi w:val="0"/>
        <w:snapToGrid/>
        <w:spacing w:line="590" w:lineRule="exact"/>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项目名称：                                  填表日期：       年   月   日</w:t>
      </w:r>
    </w:p>
    <w:tbl>
      <w:tblPr>
        <w:tblStyle w:val="6"/>
        <w:tblW w:w="8946"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17"/>
        <w:gridCol w:w="1566"/>
        <w:gridCol w:w="1023"/>
        <w:gridCol w:w="1680"/>
        <w:gridCol w:w="390"/>
        <w:gridCol w:w="1290"/>
        <w:gridCol w:w="587"/>
        <w:gridCol w:w="189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24" w:hRule="atLeast"/>
        </w:trPr>
        <w:tc>
          <w:tcPr>
            <w:tcW w:w="517" w:type="dxa"/>
            <w:vMerge w:val="restart"/>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项目概况</w:t>
            </w:r>
          </w:p>
        </w:tc>
        <w:tc>
          <w:tcPr>
            <w:tcW w:w="1566" w:type="dxa"/>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项目建设</w:t>
            </w:r>
          </w:p>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 xml:space="preserve">单位 </w:t>
            </w:r>
          </w:p>
        </w:tc>
        <w:tc>
          <w:tcPr>
            <w:tcW w:w="3093" w:type="dxa"/>
            <w:gridSpan w:val="3"/>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lang w:eastAsia="zh-CN"/>
              </w:rPr>
            </w:pPr>
            <w:r>
              <w:rPr>
                <w:rFonts w:hint="default" w:ascii="Times New Roman" w:hAnsi="Times New Roman" w:eastAsia="方正仿宋_GBK" w:cs="Times New Roman"/>
                <w:sz w:val="24"/>
                <w:lang w:eastAsia="zh-CN"/>
              </w:rPr>
              <w:t>（</w:t>
            </w:r>
            <w:r>
              <w:rPr>
                <w:rFonts w:hint="default" w:ascii="Times New Roman" w:hAnsi="Times New Roman" w:eastAsia="方正仿宋_GBK" w:cs="Times New Roman"/>
                <w:sz w:val="24"/>
              </w:rPr>
              <w:t>盖章</w:t>
            </w:r>
            <w:r>
              <w:rPr>
                <w:rFonts w:hint="default" w:ascii="Times New Roman" w:hAnsi="Times New Roman" w:eastAsia="方正仿宋_GBK" w:cs="Times New Roman"/>
                <w:sz w:val="24"/>
                <w:lang w:eastAsia="zh-CN"/>
              </w:rPr>
              <w:t>）</w:t>
            </w:r>
          </w:p>
        </w:tc>
        <w:tc>
          <w:tcPr>
            <w:tcW w:w="1877" w:type="dxa"/>
            <w:gridSpan w:val="2"/>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建设地点</w:t>
            </w:r>
          </w:p>
        </w:tc>
        <w:tc>
          <w:tcPr>
            <w:tcW w:w="1893" w:type="dxa"/>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4" w:hRule="atLeast"/>
        </w:trPr>
        <w:tc>
          <w:tcPr>
            <w:tcW w:w="517" w:type="dxa"/>
            <w:vMerge w:val="continue"/>
            <w:vAlign w:val="center"/>
          </w:tcPr>
          <w:p>
            <w:pPr>
              <w:keepNext w:val="0"/>
              <w:keepLines w:val="0"/>
              <w:pageBreakBefore w:val="0"/>
              <w:kinsoku/>
              <w:overflowPunct/>
              <w:topLinePunct w:val="0"/>
              <w:autoSpaceDE w:val="0"/>
              <w:autoSpaceDN w:val="0"/>
              <w:bidi w:val="0"/>
              <w:snapToGrid/>
              <w:spacing w:line="590" w:lineRule="exact"/>
              <w:jc w:val="left"/>
              <w:outlineLvl w:val="9"/>
              <w:rPr>
                <w:rFonts w:hint="default" w:ascii="Times New Roman" w:hAnsi="Times New Roman" w:eastAsia="方正仿宋_GBK" w:cs="Times New Roman"/>
                <w:sz w:val="24"/>
              </w:rPr>
            </w:pPr>
          </w:p>
        </w:tc>
        <w:tc>
          <w:tcPr>
            <w:tcW w:w="1566" w:type="dxa"/>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单位负责人</w:t>
            </w:r>
          </w:p>
        </w:tc>
        <w:tc>
          <w:tcPr>
            <w:tcW w:w="3093" w:type="dxa"/>
            <w:gridSpan w:val="3"/>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c>
          <w:tcPr>
            <w:tcW w:w="1877" w:type="dxa"/>
            <w:gridSpan w:val="2"/>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单位负责人</w:t>
            </w:r>
          </w:p>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电话</w:t>
            </w:r>
          </w:p>
        </w:tc>
        <w:tc>
          <w:tcPr>
            <w:tcW w:w="1893" w:type="dxa"/>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94" w:hRule="atLeast"/>
        </w:trPr>
        <w:tc>
          <w:tcPr>
            <w:tcW w:w="517" w:type="dxa"/>
            <w:vMerge w:val="continue"/>
            <w:vAlign w:val="center"/>
          </w:tcPr>
          <w:p>
            <w:pPr>
              <w:keepNext w:val="0"/>
              <w:keepLines w:val="0"/>
              <w:pageBreakBefore w:val="0"/>
              <w:kinsoku/>
              <w:overflowPunct/>
              <w:topLinePunct w:val="0"/>
              <w:autoSpaceDE w:val="0"/>
              <w:autoSpaceDN w:val="0"/>
              <w:bidi w:val="0"/>
              <w:snapToGrid/>
              <w:spacing w:line="590" w:lineRule="exact"/>
              <w:jc w:val="left"/>
              <w:outlineLvl w:val="9"/>
              <w:rPr>
                <w:rFonts w:hint="default" w:ascii="Times New Roman" w:hAnsi="Times New Roman" w:eastAsia="方正仿宋_GBK" w:cs="Times New Roman"/>
                <w:sz w:val="24"/>
              </w:rPr>
            </w:pPr>
          </w:p>
        </w:tc>
        <w:tc>
          <w:tcPr>
            <w:tcW w:w="1566" w:type="dxa"/>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 xml:space="preserve">联系人 </w:t>
            </w:r>
          </w:p>
        </w:tc>
        <w:tc>
          <w:tcPr>
            <w:tcW w:w="3093" w:type="dxa"/>
            <w:gridSpan w:val="3"/>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c>
          <w:tcPr>
            <w:tcW w:w="1877" w:type="dxa"/>
            <w:gridSpan w:val="2"/>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联系人电话</w:t>
            </w:r>
          </w:p>
        </w:tc>
        <w:tc>
          <w:tcPr>
            <w:tcW w:w="1893" w:type="dxa"/>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09" w:hRule="atLeast"/>
        </w:trPr>
        <w:tc>
          <w:tcPr>
            <w:tcW w:w="517" w:type="dxa"/>
            <w:vMerge w:val="continue"/>
            <w:vAlign w:val="center"/>
          </w:tcPr>
          <w:p>
            <w:pPr>
              <w:keepNext w:val="0"/>
              <w:keepLines w:val="0"/>
              <w:pageBreakBefore w:val="0"/>
              <w:kinsoku/>
              <w:overflowPunct/>
              <w:topLinePunct w:val="0"/>
              <w:autoSpaceDE w:val="0"/>
              <w:autoSpaceDN w:val="0"/>
              <w:bidi w:val="0"/>
              <w:snapToGrid/>
              <w:spacing w:line="590" w:lineRule="exact"/>
              <w:jc w:val="left"/>
              <w:outlineLvl w:val="9"/>
              <w:rPr>
                <w:rFonts w:hint="default" w:ascii="Times New Roman" w:hAnsi="Times New Roman" w:eastAsia="方正仿宋_GBK" w:cs="Times New Roman"/>
                <w:sz w:val="24"/>
              </w:rPr>
            </w:pPr>
          </w:p>
        </w:tc>
        <w:tc>
          <w:tcPr>
            <w:tcW w:w="1566" w:type="dxa"/>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 xml:space="preserve">项目性质 </w:t>
            </w:r>
          </w:p>
        </w:tc>
        <w:tc>
          <w:tcPr>
            <w:tcW w:w="3093" w:type="dxa"/>
            <w:gridSpan w:val="3"/>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新建</w:t>
            </w:r>
            <w:r>
              <w:rPr>
                <w:rFonts w:hint="default" w:ascii="Times New Roman" w:hAnsi="Times New Roman" w:eastAsia="方正仿宋_GBK" w:cs="Times New Roman"/>
                <w:sz w:val="30"/>
              </w:rPr>
              <w:t>□</w:t>
            </w:r>
            <w:r>
              <w:rPr>
                <w:rFonts w:hint="default" w:ascii="Times New Roman" w:hAnsi="Times New Roman" w:eastAsia="方正仿宋_GBK" w:cs="Times New Roman"/>
                <w:sz w:val="24"/>
              </w:rPr>
              <w:t xml:space="preserve">  改建</w:t>
            </w:r>
            <w:r>
              <w:rPr>
                <w:rFonts w:hint="default" w:ascii="Times New Roman" w:hAnsi="Times New Roman" w:eastAsia="方正仿宋_GBK" w:cs="Times New Roman"/>
                <w:sz w:val="30"/>
              </w:rPr>
              <w:t>□</w:t>
            </w:r>
            <w:r>
              <w:rPr>
                <w:rFonts w:hint="default" w:ascii="Times New Roman" w:hAnsi="Times New Roman" w:eastAsia="方正仿宋_GBK" w:cs="Times New Roman"/>
                <w:sz w:val="24"/>
              </w:rPr>
              <w:t xml:space="preserve">  扩建</w:t>
            </w:r>
            <w:r>
              <w:rPr>
                <w:rFonts w:hint="default" w:ascii="Times New Roman" w:hAnsi="Times New Roman" w:eastAsia="方正仿宋_GBK" w:cs="Times New Roman"/>
                <w:sz w:val="30"/>
              </w:rPr>
              <w:t>□</w:t>
            </w:r>
            <w:r>
              <w:rPr>
                <w:rFonts w:hint="default" w:ascii="Times New Roman" w:hAnsi="Times New Roman" w:eastAsia="方正仿宋_GBK" w:cs="Times New Roman"/>
                <w:sz w:val="24"/>
              </w:rPr>
              <w:t xml:space="preserve"> </w:t>
            </w:r>
          </w:p>
        </w:tc>
        <w:tc>
          <w:tcPr>
            <w:tcW w:w="1877" w:type="dxa"/>
            <w:gridSpan w:val="2"/>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 xml:space="preserve">项目总投资 </w:t>
            </w:r>
          </w:p>
        </w:tc>
        <w:tc>
          <w:tcPr>
            <w:tcW w:w="1893" w:type="dxa"/>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 xml:space="preserve">        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99" w:hRule="atLeast"/>
        </w:trPr>
        <w:tc>
          <w:tcPr>
            <w:tcW w:w="517" w:type="dxa"/>
            <w:vMerge w:val="continue"/>
            <w:vAlign w:val="center"/>
          </w:tcPr>
          <w:p>
            <w:pPr>
              <w:keepNext w:val="0"/>
              <w:keepLines w:val="0"/>
              <w:pageBreakBefore w:val="0"/>
              <w:kinsoku/>
              <w:overflowPunct/>
              <w:topLinePunct w:val="0"/>
              <w:autoSpaceDE w:val="0"/>
              <w:autoSpaceDN w:val="0"/>
              <w:bidi w:val="0"/>
              <w:snapToGrid/>
              <w:spacing w:line="590" w:lineRule="exact"/>
              <w:jc w:val="left"/>
              <w:outlineLvl w:val="9"/>
              <w:rPr>
                <w:rFonts w:hint="default" w:ascii="Times New Roman" w:hAnsi="Times New Roman" w:eastAsia="方正仿宋_GBK" w:cs="Times New Roman"/>
                <w:sz w:val="24"/>
              </w:rPr>
            </w:pPr>
          </w:p>
        </w:tc>
        <w:tc>
          <w:tcPr>
            <w:tcW w:w="1566" w:type="dxa"/>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投资管理</w:t>
            </w:r>
          </w:p>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 xml:space="preserve">类别 </w:t>
            </w:r>
          </w:p>
        </w:tc>
        <w:tc>
          <w:tcPr>
            <w:tcW w:w="6863" w:type="dxa"/>
            <w:gridSpan w:val="6"/>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审批</w:t>
            </w:r>
            <w:r>
              <w:rPr>
                <w:rFonts w:hint="default" w:ascii="Times New Roman" w:hAnsi="Times New Roman" w:eastAsia="方正仿宋_GBK" w:cs="Times New Roman"/>
                <w:sz w:val="30"/>
              </w:rPr>
              <w:t>□</w:t>
            </w:r>
            <w:r>
              <w:rPr>
                <w:rFonts w:hint="default" w:ascii="Times New Roman" w:hAnsi="Times New Roman" w:eastAsia="方正仿宋_GBK" w:cs="Times New Roman"/>
                <w:sz w:val="24"/>
              </w:rPr>
              <w:t xml:space="preserve">           核准</w:t>
            </w:r>
            <w:r>
              <w:rPr>
                <w:rFonts w:hint="default" w:ascii="Times New Roman" w:hAnsi="Times New Roman" w:eastAsia="方正仿宋_GBK" w:cs="Times New Roman"/>
                <w:sz w:val="30"/>
              </w:rPr>
              <w:t>□</w:t>
            </w:r>
            <w:r>
              <w:rPr>
                <w:rFonts w:hint="default" w:ascii="Times New Roman" w:hAnsi="Times New Roman" w:eastAsia="方正仿宋_GBK" w:cs="Times New Roman"/>
                <w:sz w:val="24"/>
              </w:rPr>
              <w:t xml:space="preserve">            备案</w:t>
            </w:r>
            <w:r>
              <w:rPr>
                <w:rFonts w:hint="default" w:ascii="Times New Roman" w:hAnsi="Times New Roman" w:eastAsia="方正仿宋_GBK" w:cs="Times New Roman"/>
                <w:sz w:val="30"/>
              </w:rPr>
              <w:t>□</w:t>
            </w:r>
            <w:r>
              <w:rPr>
                <w:rFonts w:hint="default" w:ascii="Times New Roman" w:hAnsi="Times New Roman" w:eastAsia="方正仿宋_GBK" w:cs="Times New Roman"/>
                <w:sz w:val="24"/>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39" w:hRule="atLeast"/>
        </w:trPr>
        <w:tc>
          <w:tcPr>
            <w:tcW w:w="517" w:type="dxa"/>
            <w:vMerge w:val="continue"/>
            <w:vAlign w:val="center"/>
          </w:tcPr>
          <w:p>
            <w:pPr>
              <w:keepNext w:val="0"/>
              <w:keepLines w:val="0"/>
              <w:pageBreakBefore w:val="0"/>
              <w:kinsoku/>
              <w:overflowPunct/>
              <w:topLinePunct w:val="0"/>
              <w:autoSpaceDE w:val="0"/>
              <w:autoSpaceDN w:val="0"/>
              <w:bidi w:val="0"/>
              <w:snapToGrid/>
              <w:spacing w:line="590" w:lineRule="exact"/>
              <w:jc w:val="left"/>
              <w:outlineLvl w:val="9"/>
              <w:rPr>
                <w:rFonts w:hint="default" w:ascii="Times New Roman" w:hAnsi="Times New Roman" w:eastAsia="方正仿宋_GBK" w:cs="Times New Roman"/>
                <w:sz w:val="24"/>
              </w:rPr>
            </w:pPr>
          </w:p>
        </w:tc>
        <w:tc>
          <w:tcPr>
            <w:tcW w:w="1566" w:type="dxa"/>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项目所属</w:t>
            </w:r>
          </w:p>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行业</w:t>
            </w:r>
          </w:p>
        </w:tc>
        <w:tc>
          <w:tcPr>
            <w:tcW w:w="3093" w:type="dxa"/>
            <w:gridSpan w:val="3"/>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c>
          <w:tcPr>
            <w:tcW w:w="1877" w:type="dxa"/>
            <w:gridSpan w:val="2"/>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建筑面积（m</w:t>
            </w:r>
            <w:r>
              <w:rPr>
                <w:rFonts w:hint="default" w:ascii="Times New Roman" w:hAnsi="Times New Roman" w:eastAsia="方正仿宋_GBK" w:cs="Times New Roman"/>
                <w:sz w:val="24"/>
                <w:vertAlign w:val="superscript"/>
              </w:rPr>
              <w:t>2</w:t>
            </w:r>
            <w:r>
              <w:rPr>
                <w:rFonts w:hint="default" w:ascii="Times New Roman" w:hAnsi="Times New Roman" w:eastAsia="方正仿宋_GBK" w:cs="Times New Roman"/>
                <w:sz w:val="24"/>
              </w:rPr>
              <w:t>）</w:t>
            </w:r>
          </w:p>
        </w:tc>
        <w:tc>
          <w:tcPr>
            <w:tcW w:w="1893" w:type="dxa"/>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39" w:hRule="atLeast"/>
        </w:trPr>
        <w:tc>
          <w:tcPr>
            <w:tcW w:w="517" w:type="dxa"/>
            <w:vMerge w:val="continue"/>
            <w:vAlign w:val="center"/>
          </w:tcPr>
          <w:p>
            <w:pPr>
              <w:keepNext w:val="0"/>
              <w:keepLines w:val="0"/>
              <w:pageBreakBefore w:val="0"/>
              <w:kinsoku/>
              <w:overflowPunct/>
              <w:topLinePunct w:val="0"/>
              <w:autoSpaceDE w:val="0"/>
              <w:autoSpaceDN w:val="0"/>
              <w:bidi w:val="0"/>
              <w:snapToGrid/>
              <w:spacing w:line="590" w:lineRule="exact"/>
              <w:jc w:val="left"/>
              <w:outlineLvl w:val="9"/>
              <w:rPr>
                <w:rFonts w:hint="default" w:ascii="Times New Roman" w:hAnsi="Times New Roman" w:eastAsia="方正仿宋_GBK" w:cs="Times New Roman"/>
                <w:sz w:val="24"/>
              </w:rPr>
            </w:pPr>
          </w:p>
        </w:tc>
        <w:tc>
          <w:tcPr>
            <w:tcW w:w="1566" w:type="dxa"/>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项目代码</w:t>
            </w:r>
          </w:p>
        </w:tc>
        <w:tc>
          <w:tcPr>
            <w:tcW w:w="6863" w:type="dxa"/>
            <w:gridSpan w:val="6"/>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39" w:hRule="atLeast"/>
        </w:trPr>
        <w:tc>
          <w:tcPr>
            <w:tcW w:w="517" w:type="dxa"/>
            <w:vMerge w:val="continue"/>
            <w:vAlign w:val="center"/>
          </w:tcPr>
          <w:p>
            <w:pPr>
              <w:keepNext w:val="0"/>
              <w:keepLines w:val="0"/>
              <w:pageBreakBefore w:val="0"/>
              <w:kinsoku/>
              <w:overflowPunct/>
              <w:topLinePunct w:val="0"/>
              <w:autoSpaceDE w:val="0"/>
              <w:autoSpaceDN w:val="0"/>
              <w:bidi w:val="0"/>
              <w:snapToGrid/>
              <w:spacing w:line="590" w:lineRule="exact"/>
              <w:jc w:val="left"/>
              <w:outlineLvl w:val="9"/>
              <w:rPr>
                <w:rFonts w:hint="default" w:ascii="Times New Roman" w:hAnsi="Times New Roman" w:eastAsia="方正仿宋_GBK" w:cs="Times New Roman"/>
                <w:sz w:val="24"/>
              </w:rPr>
            </w:pPr>
          </w:p>
        </w:tc>
        <w:tc>
          <w:tcPr>
            <w:tcW w:w="1566" w:type="dxa"/>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拟开工时间</w:t>
            </w:r>
          </w:p>
        </w:tc>
        <w:tc>
          <w:tcPr>
            <w:tcW w:w="3093" w:type="dxa"/>
            <w:gridSpan w:val="3"/>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c>
          <w:tcPr>
            <w:tcW w:w="1877" w:type="dxa"/>
            <w:gridSpan w:val="2"/>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拟投产时间</w:t>
            </w:r>
          </w:p>
        </w:tc>
        <w:tc>
          <w:tcPr>
            <w:tcW w:w="1893" w:type="dxa"/>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64" w:hRule="atLeast"/>
        </w:trPr>
        <w:tc>
          <w:tcPr>
            <w:tcW w:w="517" w:type="dxa"/>
            <w:vMerge w:val="continue"/>
            <w:vAlign w:val="center"/>
          </w:tcPr>
          <w:p>
            <w:pPr>
              <w:keepNext w:val="0"/>
              <w:keepLines w:val="0"/>
              <w:pageBreakBefore w:val="0"/>
              <w:kinsoku/>
              <w:overflowPunct/>
              <w:topLinePunct w:val="0"/>
              <w:autoSpaceDE w:val="0"/>
              <w:autoSpaceDN w:val="0"/>
              <w:bidi w:val="0"/>
              <w:snapToGrid/>
              <w:spacing w:line="590" w:lineRule="exact"/>
              <w:jc w:val="left"/>
              <w:outlineLvl w:val="9"/>
              <w:rPr>
                <w:rFonts w:hint="default" w:ascii="Times New Roman" w:hAnsi="Times New Roman" w:eastAsia="方正仿宋_GBK" w:cs="Times New Roman"/>
                <w:sz w:val="24"/>
              </w:rPr>
            </w:pPr>
          </w:p>
        </w:tc>
        <w:tc>
          <w:tcPr>
            <w:tcW w:w="1566" w:type="dxa"/>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建设规模及</w:t>
            </w:r>
          </w:p>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主要内容</w:t>
            </w:r>
          </w:p>
        </w:tc>
        <w:tc>
          <w:tcPr>
            <w:tcW w:w="6863" w:type="dxa"/>
            <w:gridSpan w:val="6"/>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705" w:hRule="atLeast"/>
        </w:trPr>
        <w:tc>
          <w:tcPr>
            <w:tcW w:w="517" w:type="dxa"/>
            <w:vMerge w:val="restart"/>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年耗能量</w:t>
            </w:r>
          </w:p>
        </w:tc>
        <w:tc>
          <w:tcPr>
            <w:tcW w:w="1566" w:type="dxa"/>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能源种类</w:t>
            </w:r>
          </w:p>
        </w:tc>
        <w:tc>
          <w:tcPr>
            <w:tcW w:w="1023" w:type="dxa"/>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计量</w:t>
            </w:r>
          </w:p>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 xml:space="preserve">单位 </w:t>
            </w:r>
          </w:p>
        </w:tc>
        <w:tc>
          <w:tcPr>
            <w:tcW w:w="1680" w:type="dxa"/>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年需要</w:t>
            </w:r>
          </w:p>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实物量</w:t>
            </w:r>
          </w:p>
        </w:tc>
        <w:tc>
          <w:tcPr>
            <w:tcW w:w="1680" w:type="dxa"/>
            <w:gridSpan w:val="2"/>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参考折标</w:t>
            </w:r>
          </w:p>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 xml:space="preserve">系数 </w:t>
            </w:r>
          </w:p>
        </w:tc>
        <w:tc>
          <w:tcPr>
            <w:tcW w:w="2480" w:type="dxa"/>
            <w:gridSpan w:val="2"/>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年耗能量</w:t>
            </w:r>
          </w:p>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 xml:space="preserve">（吨标准煤）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97" w:hRule="atLeast"/>
        </w:trPr>
        <w:tc>
          <w:tcPr>
            <w:tcW w:w="517" w:type="dxa"/>
            <w:vMerge w:val="continue"/>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c>
          <w:tcPr>
            <w:tcW w:w="1566" w:type="dxa"/>
            <w:vMerge w:val="restart"/>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电力</w:t>
            </w:r>
          </w:p>
        </w:tc>
        <w:tc>
          <w:tcPr>
            <w:tcW w:w="1023" w:type="dxa"/>
            <w:vMerge w:val="restart"/>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c>
          <w:tcPr>
            <w:tcW w:w="1680" w:type="dxa"/>
            <w:vMerge w:val="restart"/>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c>
          <w:tcPr>
            <w:tcW w:w="1680" w:type="dxa"/>
            <w:gridSpan w:val="2"/>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c>
          <w:tcPr>
            <w:tcW w:w="2480" w:type="dxa"/>
            <w:gridSpan w:val="2"/>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（当量值）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97" w:hRule="atLeast"/>
        </w:trPr>
        <w:tc>
          <w:tcPr>
            <w:tcW w:w="517" w:type="dxa"/>
            <w:vMerge w:val="continue"/>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c>
          <w:tcPr>
            <w:tcW w:w="1566" w:type="dxa"/>
            <w:vMerge w:val="continue"/>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c>
          <w:tcPr>
            <w:tcW w:w="1023" w:type="dxa"/>
            <w:vMerge w:val="continue"/>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c>
          <w:tcPr>
            <w:tcW w:w="1680" w:type="dxa"/>
            <w:vMerge w:val="continue"/>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c>
          <w:tcPr>
            <w:tcW w:w="1680" w:type="dxa"/>
            <w:gridSpan w:val="2"/>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c>
          <w:tcPr>
            <w:tcW w:w="2480" w:type="dxa"/>
            <w:gridSpan w:val="2"/>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（等价值）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97" w:hRule="atLeast"/>
        </w:trPr>
        <w:tc>
          <w:tcPr>
            <w:tcW w:w="517" w:type="dxa"/>
            <w:vMerge w:val="continue"/>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c>
          <w:tcPr>
            <w:tcW w:w="1566" w:type="dxa"/>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煤炭</w:t>
            </w:r>
          </w:p>
        </w:tc>
        <w:tc>
          <w:tcPr>
            <w:tcW w:w="1023" w:type="dxa"/>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c>
          <w:tcPr>
            <w:tcW w:w="1680" w:type="dxa"/>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c>
          <w:tcPr>
            <w:tcW w:w="1680" w:type="dxa"/>
            <w:gridSpan w:val="2"/>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c>
          <w:tcPr>
            <w:tcW w:w="2480" w:type="dxa"/>
            <w:gridSpan w:val="2"/>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97" w:hRule="atLeast"/>
        </w:trPr>
        <w:tc>
          <w:tcPr>
            <w:tcW w:w="517" w:type="dxa"/>
            <w:vMerge w:val="continue"/>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c>
          <w:tcPr>
            <w:tcW w:w="1566" w:type="dxa"/>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热力</w:t>
            </w:r>
          </w:p>
        </w:tc>
        <w:tc>
          <w:tcPr>
            <w:tcW w:w="1023" w:type="dxa"/>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c>
          <w:tcPr>
            <w:tcW w:w="1680" w:type="dxa"/>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c>
          <w:tcPr>
            <w:tcW w:w="1680" w:type="dxa"/>
            <w:gridSpan w:val="2"/>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c>
          <w:tcPr>
            <w:tcW w:w="2480" w:type="dxa"/>
            <w:gridSpan w:val="2"/>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97" w:hRule="atLeast"/>
        </w:trPr>
        <w:tc>
          <w:tcPr>
            <w:tcW w:w="517" w:type="dxa"/>
            <w:vMerge w:val="continue"/>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c>
          <w:tcPr>
            <w:tcW w:w="1566" w:type="dxa"/>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天然气</w:t>
            </w:r>
          </w:p>
        </w:tc>
        <w:tc>
          <w:tcPr>
            <w:tcW w:w="1023" w:type="dxa"/>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c>
          <w:tcPr>
            <w:tcW w:w="1680" w:type="dxa"/>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c>
          <w:tcPr>
            <w:tcW w:w="1680" w:type="dxa"/>
            <w:gridSpan w:val="2"/>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c>
          <w:tcPr>
            <w:tcW w:w="2480" w:type="dxa"/>
            <w:gridSpan w:val="2"/>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97" w:hRule="atLeast"/>
        </w:trPr>
        <w:tc>
          <w:tcPr>
            <w:tcW w:w="517" w:type="dxa"/>
            <w:vMerge w:val="continue"/>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c>
          <w:tcPr>
            <w:tcW w:w="1566" w:type="dxa"/>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耗能工质类</w:t>
            </w:r>
          </w:p>
        </w:tc>
        <w:tc>
          <w:tcPr>
            <w:tcW w:w="1023" w:type="dxa"/>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c>
          <w:tcPr>
            <w:tcW w:w="1680" w:type="dxa"/>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c>
          <w:tcPr>
            <w:tcW w:w="1680" w:type="dxa"/>
            <w:gridSpan w:val="2"/>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c>
          <w:tcPr>
            <w:tcW w:w="2480" w:type="dxa"/>
            <w:gridSpan w:val="2"/>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97" w:hRule="atLeast"/>
        </w:trPr>
        <w:tc>
          <w:tcPr>
            <w:tcW w:w="517" w:type="dxa"/>
            <w:vMerge w:val="continue"/>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c>
          <w:tcPr>
            <w:tcW w:w="1566" w:type="dxa"/>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w:t>
            </w:r>
          </w:p>
        </w:tc>
        <w:tc>
          <w:tcPr>
            <w:tcW w:w="1023" w:type="dxa"/>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c>
          <w:tcPr>
            <w:tcW w:w="1680" w:type="dxa"/>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c>
          <w:tcPr>
            <w:tcW w:w="1680" w:type="dxa"/>
            <w:gridSpan w:val="2"/>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c>
          <w:tcPr>
            <w:tcW w:w="2480" w:type="dxa"/>
            <w:gridSpan w:val="2"/>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97" w:hRule="atLeast"/>
        </w:trPr>
        <w:tc>
          <w:tcPr>
            <w:tcW w:w="517" w:type="dxa"/>
            <w:vMerge w:val="continue"/>
            <w:vAlign w:val="center"/>
          </w:tcPr>
          <w:p>
            <w:pPr>
              <w:keepNext w:val="0"/>
              <w:keepLines w:val="0"/>
              <w:pageBreakBefore w:val="0"/>
              <w:kinsoku/>
              <w:overflowPunct/>
              <w:topLinePunct w:val="0"/>
              <w:autoSpaceDE w:val="0"/>
              <w:autoSpaceDN w:val="0"/>
              <w:bidi w:val="0"/>
              <w:snapToGrid/>
              <w:spacing w:line="590" w:lineRule="exact"/>
              <w:jc w:val="left"/>
              <w:outlineLvl w:val="9"/>
              <w:rPr>
                <w:rFonts w:hint="default" w:ascii="Times New Roman" w:hAnsi="Times New Roman" w:eastAsia="方正仿宋_GBK" w:cs="Times New Roman"/>
                <w:sz w:val="24"/>
              </w:rPr>
            </w:pPr>
          </w:p>
        </w:tc>
        <w:tc>
          <w:tcPr>
            <w:tcW w:w="5949" w:type="dxa"/>
            <w:gridSpan w:val="5"/>
            <w:vMerge w:val="restart"/>
            <w:vAlign w:val="center"/>
          </w:tcPr>
          <w:p>
            <w:pPr>
              <w:keepNext w:val="0"/>
              <w:keepLines w:val="0"/>
              <w:pageBreakBefore w:val="0"/>
              <w:kinsoku/>
              <w:overflowPunct/>
              <w:topLinePunct w:val="0"/>
              <w:autoSpaceDE w:val="0"/>
              <w:autoSpaceDN w:val="0"/>
              <w:bidi w:val="0"/>
              <w:snapToGrid/>
              <w:spacing w:line="590" w:lineRule="exact"/>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项目年耗能总量（吨标准煤）</w:t>
            </w:r>
          </w:p>
        </w:tc>
        <w:tc>
          <w:tcPr>
            <w:tcW w:w="2480" w:type="dxa"/>
            <w:gridSpan w:val="2"/>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（当量值）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97" w:hRule="atLeast"/>
        </w:trPr>
        <w:tc>
          <w:tcPr>
            <w:tcW w:w="517" w:type="dxa"/>
            <w:vMerge w:val="continue"/>
            <w:vAlign w:val="center"/>
          </w:tcPr>
          <w:p>
            <w:pPr>
              <w:keepNext w:val="0"/>
              <w:keepLines w:val="0"/>
              <w:pageBreakBefore w:val="0"/>
              <w:kinsoku/>
              <w:overflowPunct/>
              <w:topLinePunct w:val="0"/>
              <w:autoSpaceDE w:val="0"/>
              <w:autoSpaceDN w:val="0"/>
              <w:bidi w:val="0"/>
              <w:snapToGrid/>
              <w:spacing w:line="590" w:lineRule="exact"/>
              <w:jc w:val="left"/>
              <w:outlineLvl w:val="9"/>
              <w:rPr>
                <w:rFonts w:hint="default" w:ascii="Times New Roman" w:hAnsi="Times New Roman" w:eastAsia="方正仿宋_GBK" w:cs="Times New Roman"/>
                <w:sz w:val="24"/>
              </w:rPr>
            </w:pPr>
          </w:p>
        </w:tc>
        <w:tc>
          <w:tcPr>
            <w:tcW w:w="5949" w:type="dxa"/>
            <w:gridSpan w:val="5"/>
            <w:vMerge w:val="continue"/>
            <w:vAlign w:val="center"/>
          </w:tcPr>
          <w:p>
            <w:pPr>
              <w:keepNext w:val="0"/>
              <w:keepLines w:val="0"/>
              <w:pageBreakBefore w:val="0"/>
              <w:kinsoku/>
              <w:overflowPunct/>
              <w:topLinePunct w:val="0"/>
              <w:autoSpaceDE w:val="0"/>
              <w:autoSpaceDN w:val="0"/>
              <w:bidi w:val="0"/>
              <w:snapToGrid/>
              <w:spacing w:line="590" w:lineRule="exact"/>
              <w:outlineLvl w:val="9"/>
              <w:rPr>
                <w:rFonts w:hint="default" w:ascii="Times New Roman" w:hAnsi="Times New Roman" w:eastAsia="方正仿宋_GBK" w:cs="Times New Roman"/>
                <w:sz w:val="24"/>
              </w:rPr>
            </w:pPr>
          </w:p>
        </w:tc>
        <w:tc>
          <w:tcPr>
            <w:tcW w:w="2480" w:type="dxa"/>
            <w:gridSpan w:val="2"/>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（等价值）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97" w:hRule="atLeast"/>
        </w:trPr>
        <w:tc>
          <w:tcPr>
            <w:tcW w:w="517" w:type="dxa"/>
            <w:vMerge w:val="restart"/>
            <w:vAlign w:val="center"/>
          </w:tcPr>
          <w:p>
            <w:pPr>
              <w:keepNext w:val="0"/>
              <w:keepLines w:val="0"/>
              <w:pageBreakBefore w:val="0"/>
              <w:kinsoku/>
              <w:overflowPunct/>
              <w:topLinePunct w:val="0"/>
              <w:autoSpaceDE w:val="0"/>
              <w:autoSpaceDN w:val="0"/>
              <w:bidi w:val="0"/>
              <w:snapToGrid/>
              <w:spacing w:line="590" w:lineRule="exact"/>
              <w:jc w:val="left"/>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能效指标</w:t>
            </w:r>
          </w:p>
        </w:tc>
        <w:tc>
          <w:tcPr>
            <w:tcW w:w="5949" w:type="dxa"/>
            <w:gridSpan w:val="5"/>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单位产品能耗（吨标准煤/产品单位）</w:t>
            </w:r>
          </w:p>
        </w:tc>
        <w:tc>
          <w:tcPr>
            <w:tcW w:w="2480" w:type="dxa"/>
            <w:gridSpan w:val="2"/>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97" w:hRule="atLeast"/>
        </w:trPr>
        <w:tc>
          <w:tcPr>
            <w:tcW w:w="517" w:type="dxa"/>
            <w:vMerge w:val="continue"/>
            <w:vAlign w:val="center"/>
          </w:tcPr>
          <w:p>
            <w:pPr>
              <w:keepNext w:val="0"/>
              <w:keepLines w:val="0"/>
              <w:pageBreakBefore w:val="0"/>
              <w:kinsoku/>
              <w:overflowPunct/>
              <w:topLinePunct w:val="0"/>
              <w:autoSpaceDE w:val="0"/>
              <w:autoSpaceDN w:val="0"/>
              <w:bidi w:val="0"/>
              <w:snapToGrid/>
              <w:spacing w:line="590" w:lineRule="exact"/>
              <w:jc w:val="left"/>
              <w:outlineLvl w:val="9"/>
              <w:rPr>
                <w:rFonts w:hint="default" w:ascii="Times New Roman" w:hAnsi="Times New Roman" w:eastAsia="方正仿宋_GBK" w:cs="Times New Roman"/>
                <w:sz w:val="24"/>
              </w:rPr>
            </w:pPr>
          </w:p>
        </w:tc>
        <w:tc>
          <w:tcPr>
            <w:tcW w:w="5949" w:type="dxa"/>
            <w:gridSpan w:val="5"/>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单位增加值能耗（吨标准煤/万元）</w:t>
            </w:r>
          </w:p>
        </w:tc>
        <w:tc>
          <w:tcPr>
            <w:tcW w:w="2480" w:type="dxa"/>
            <w:gridSpan w:val="2"/>
            <w:vAlign w:val="center"/>
          </w:tcPr>
          <w:p>
            <w:pPr>
              <w:keepNext w:val="0"/>
              <w:keepLines w:val="0"/>
              <w:pageBreakBefore w:val="0"/>
              <w:kinsoku/>
              <w:overflowPunct/>
              <w:topLinePunct w:val="0"/>
              <w:autoSpaceDE w:val="0"/>
              <w:autoSpaceDN w:val="0"/>
              <w:bidi w:val="0"/>
              <w:snapToGrid/>
              <w:spacing w:line="590" w:lineRule="exact"/>
              <w:jc w:val="center"/>
              <w:outlineLvl w:val="9"/>
              <w:rPr>
                <w:rFonts w:hint="default" w:ascii="Times New Roman" w:hAnsi="Times New Roman" w:eastAsia="方正仿宋_GBK"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832" w:hRule="atLeast"/>
        </w:trPr>
        <w:tc>
          <w:tcPr>
            <w:tcW w:w="8946" w:type="dxa"/>
            <w:gridSpan w:val="8"/>
            <w:vAlign w:val="center"/>
          </w:tcPr>
          <w:p>
            <w:pPr>
              <w:keepNext w:val="0"/>
              <w:keepLines w:val="0"/>
              <w:pageBreakBefore w:val="0"/>
              <w:kinsoku/>
              <w:overflowPunct/>
              <w:topLinePunct w:val="0"/>
              <w:autoSpaceDE w:val="0"/>
              <w:autoSpaceDN w:val="0"/>
              <w:bidi w:val="0"/>
              <w:snapToGrid/>
              <w:spacing w:line="590" w:lineRule="exact"/>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项目能耗测算说明（可另附页）：</w:t>
            </w:r>
          </w:p>
          <w:p>
            <w:pPr>
              <w:keepNext w:val="0"/>
              <w:keepLines w:val="0"/>
              <w:pageBreakBefore w:val="0"/>
              <w:kinsoku/>
              <w:overflowPunct/>
              <w:topLinePunct w:val="0"/>
              <w:autoSpaceDE w:val="0"/>
              <w:autoSpaceDN w:val="0"/>
              <w:bidi w:val="0"/>
              <w:snapToGrid/>
              <w:spacing w:line="590" w:lineRule="exact"/>
              <w:outlineLvl w:val="9"/>
              <w:rPr>
                <w:rFonts w:hint="default" w:ascii="Times New Roman" w:hAnsi="Times New Roman" w:eastAsia="方正仿宋_GBK" w:cs="Times New Roman"/>
                <w:sz w:val="24"/>
              </w:rPr>
            </w:pPr>
          </w:p>
          <w:p>
            <w:pPr>
              <w:keepNext w:val="0"/>
              <w:keepLines w:val="0"/>
              <w:pageBreakBefore w:val="0"/>
              <w:kinsoku/>
              <w:overflowPunct/>
              <w:topLinePunct w:val="0"/>
              <w:autoSpaceDE w:val="0"/>
              <w:autoSpaceDN w:val="0"/>
              <w:bidi w:val="0"/>
              <w:snapToGrid/>
              <w:spacing w:line="590" w:lineRule="exact"/>
              <w:outlineLvl w:val="9"/>
              <w:rPr>
                <w:rFonts w:hint="default" w:ascii="Times New Roman" w:hAnsi="Times New Roman" w:eastAsia="方正仿宋_GBK" w:cs="Times New Roman"/>
                <w:sz w:val="24"/>
              </w:rPr>
            </w:pPr>
          </w:p>
          <w:p>
            <w:pPr>
              <w:keepNext w:val="0"/>
              <w:keepLines w:val="0"/>
              <w:pageBreakBefore w:val="0"/>
              <w:kinsoku/>
              <w:overflowPunct/>
              <w:topLinePunct w:val="0"/>
              <w:autoSpaceDE w:val="0"/>
              <w:autoSpaceDN w:val="0"/>
              <w:bidi w:val="0"/>
              <w:snapToGrid/>
              <w:spacing w:line="590" w:lineRule="exact"/>
              <w:outlineLvl w:val="9"/>
              <w:rPr>
                <w:rFonts w:hint="default" w:ascii="Times New Roman" w:hAnsi="Times New Roman" w:eastAsia="方正仿宋_GBK" w:cs="Times New Roman"/>
                <w:sz w:val="24"/>
              </w:rPr>
            </w:pPr>
          </w:p>
          <w:p>
            <w:pPr>
              <w:keepNext w:val="0"/>
              <w:keepLines w:val="0"/>
              <w:pageBreakBefore w:val="0"/>
              <w:kinsoku/>
              <w:overflowPunct/>
              <w:topLinePunct w:val="0"/>
              <w:autoSpaceDE w:val="0"/>
              <w:autoSpaceDN w:val="0"/>
              <w:bidi w:val="0"/>
              <w:snapToGrid/>
              <w:spacing w:line="590" w:lineRule="exact"/>
              <w:outlineLvl w:val="9"/>
              <w:rPr>
                <w:rFonts w:hint="default" w:ascii="Times New Roman" w:hAnsi="Times New Roman" w:eastAsia="方正仿宋_GBK" w:cs="Times New Roman"/>
                <w:sz w:val="24"/>
              </w:rPr>
            </w:pPr>
          </w:p>
          <w:p>
            <w:pPr>
              <w:keepNext w:val="0"/>
              <w:keepLines w:val="0"/>
              <w:pageBreakBefore w:val="0"/>
              <w:kinsoku/>
              <w:overflowPunct/>
              <w:topLinePunct w:val="0"/>
              <w:autoSpaceDE w:val="0"/>
              <w:autoSpaceDN w:val="0"/>
              <w:bidi w:val="0"/>
              <w:snapToGrid/>
              <w:spacing w:line="590" w:lineRule="exact"/>
              <w:outlineLvl w:val="9"/>
              <w:rPr>
                <w:rFonts w:hint="default" w:ascii="Times New Roman" w:hAnsi="Times New Roman" w:eastAsia="方正仿宋_GBK" w:cs="Times New Roman"/>
                <w:sz w:val="24"/>
              </w:rPr>
            </w:pPr>
          </w:p>
          <w:p>
            <w:pPr>
              <w:keepNext w:val="0"/>
              <w:keepLines w:val="0"/>
              <w:pageBreakBefore w:val="0"/>
              <w:kinsoku/>
              <w:overflowPunct/>
              <w:topLinePunct w:val="0"/>
              <w:autoSpaceDE w:val="0"/>
              <w:autoSpaceDN w:val="0"/>
              <w:bidi w:val="0"/>
              <w:snapToGrid/>
              <w:spacing w:line="590" w:lineRule="exact"/>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项目节能措施简述（采用的节能设计标准、规范以及节能新技术、新产品并说明项目能源利用效率）：</w:t>
            </w:r>
          </w:p>
          <w:p>
            <w:pPr>
              <w:keepNext w:val="0"/>
              <w:keepLines w:val="0"/>
              <w:pageBreakBefore w:val="0"/>
              <w:kinsoku/>
              <w:overflowPunct/>
              <w:topLinePunct w:val="0"/>
              <w:autoSpaceDE w:val="0"/>
              <w:autoSpaceDN w:val="0"/>
              <w:bidi w:val="0"/>
              <w:snapToGrid/>
              <w:spacing w:line="590" w:lineRule="exact"/>
              <w:outlineLvl w:val="9"/>
              <w:rPr>
                <w:rFonts w:hint="default" w:ascii="Times New Roman" w:hAnsi="Times New Roman" w:eastAsia="方正仿宋_GBK" w:cs="Times New Roman"/>
                <w:sz w:val="24"/>
              </w:rPr>
            </w:pPr>
          </w:p>
          <w:p>
            <w:pPr>
              <w:keepNext w:val="0"/>
              <w:keepLines w:val="0"/>
              <w:pageBreakBefore w:val="0"/>
              <w:kinsoku/>
              <w:overflowPunct/>
              <w:topLinePunct w:val="0"/>
              <w:autoSpaceDE w:val="0"/>
              <w:autoSpaceDN w:val="0"/>
              <w:bidi w:val="0"/>
              <w:snapToGrid/>
              <w:spacing w:line="590" w:lineRule="exact"/>
              <w:outlineLvl w:val="9"/>
              <w:rPr>
                <w:rFonts w:hint="default" w:ascii="Times New Roman" w:hAnsi="Times New Roman" w:eastAsia="方正仿宋_GBK" w:cs="Times New Roman"/>
                <w:sz w:val="24"/>
              </w:rPr>
            </w:pPr>
          </w:p>
          <w:p>
            <w:pPr>
              <w:keepNext w:val="0"/>
              <w:keepLines w:val="0"/>
              <w:pageBreakBefore w:val="0"/>
              <w:kinsoku/>
              <w:overflowPunct/>
              <w:topLinePunct w:val="0"/>
              <w:autoSpaceDE w:val="0"/>
              <w:autoSpaceDN w:val="0"/>
              <w:bidi w:val="0"/>
              <w:snapToGrid/>
              <w:spacing w:line="590" w:lineRule="exact"/>
              <w:outlineLvl w:val="9"/>
              <w:rPr>
                <w:rFonts w:hint="default" w:ascii="Times New Roman" w:hAnsi="Times New Roman" w:eastAsia="方正仿宋_GBK" w:cs="Times New Roman"/>
                <w:sz w:val="24"/>
              </w:rPr>
            </w:pPr>
          </w:p>
          <w:p>
            <w:pPr>
              <w:keepNext w:val="0"/>
              <w:keepLines w:val="0"/>
              <w:pageBreakBefore w:val="0"/>
              <w:kinsoku/>
              <w:overflowPunct/>
              <w:topLinePunct w:val="0"/>
              <w:autoSpaceDE w:val="0"/>
              <w:autoSpaceDN w:val="0"/>
              <w:bidi w:val="0"/>
              <w:snapToGrid/>
              <w:spacing w:line="590" w:lineRule="exact"/>
              <w:outlineLvl w:val="9"/>
              <w:rPr>
                <w:rFonts w:hint="default" w:ascii="Times New Roman" w:hAnsi="Times New Roman" w:eastAsia="方正仿宋_GBK" w:cs="Times New Roman"/>
                <w:sz w:val="24"/>
              </w:rPr>
            </w:pPr>
          </w:p>
          <w:p>
            <w:pPr>
              <w:keepNext w:val="0"/>
              <w:keepLines w:val="0"/>
              <w:pageBreakBefore w:val="0"/>
              <w:kinsoku/>
              <w:overflowPunct/>
              <w:topLinePunct w:val="0"/>
              <w:autoSpaceDE w:val="0"/>
              <w:autoSpaceDN w:val="0"/>
              <w:bidi w:val="0"/>
              <w:snapToGrid/>
              <w:spacing w:line="590" w:lineRule="exact"/>
              <w:outlineLvl w:val="9"/>
              <w:rPr>
                <w:rFonts w:hint="default" w:ascii="Times New Roman" w:hAnsi="Times New Roman" w:eastAsia="方正仿宋_GBK"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525" w:hRule="atLeast"/>
        </w:trPr>
        <w:tc>
          <w:tcPr>
            <w:tcW w:w="8946" w:type="dxa"/>
            <w:gridSpan w:val="8"/>
            <w:vAlign w:val="center"/>
          </w:tcPr>
          <w:p>
            <w:pPr>
              <w:keepNext w:val="0"/>
              <w:keepLines w:val="0"/>
              <w:pageBreakBefore w:val="0"/>
              <w:kinsoku/>
              <w:overflowPunct/>
              <w:topLinePunct w:val="0"/>
              <w:autoSpaceDE w:val="0"/>
              <w:autoSpaceDN w:val="0"/>
              <w:bidi w:val="0"/>
              <w:adjustRightInd w:val="0"/>
              <w:snapToGrid/>
              <w:spacing w:line="590" w:lineRule="exact"/>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 xml:space="preserve">    </w:t>
            </w:r>
          </w:p>
          <w:p>
            <w:pPr>
              <w:keepNext w:val="0"/>
              <w:keepLines w:val="0"/>
              <w:pageBreakBefore w:val="0"/>
              <w:kinsoku/>
              <w:overflowPunct/>
              <w:topLinePunct w:val="0"/>
              <w:autoSpaceDE w:val="0"/>
              <w:autoSpaceDN w:val="0"/>
              <w:bidi w:val="0"/>
              <w:adjustRightInd w:val="0"/>
              <w:snapToGrid/>
              <w:spacing w:line="590" w:lineRule="exact"/>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本单位郑重承诺：</w:t>
            </w:r>
          </w:p>
          <w:p>
            <w:pPr>
              <w:keepNext w:val="0"/>
              <w:keepLines w:val="0"/>
              <w:pageBreakBefore w:val="0"/>
              <w:kinsoku/>
              <w:overflowPunct/>
              <w:topLinePunct w:val="0"/>
              <w:autoSpaceDE w:val="0"/>
              <w:autoSpaceDN w:val="0"/>
              <w:bidi w:val="0"/>
              <w:adjustRightInd w:val="0"/>
              <w:snapToGrid/>
              <w:spacing w:line="590" w:lineRule="exact"/>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 xml:space="preserve">    1.</w:t>
            </w:r>
            <w:r>
              <w:rPr>
                <w:rFonts w:hint="default" w:ascii="Times New Roman" w:hAnsi="Times New Roman" w:eastAsia="方正仿宋_GBK" w:cs="Times New Roman"/>
                <w:sz w:val="24"/>
                <w:lang w:val="en-US" w:eastAsia="zh-CN"/>
              </w:rPr>
              <w:t xml:space="preserve"> </w:t>
            </w:r>
            <w:r>
              <w:rPr>
                <w:rFonts w:hint="default" w:ascii="Times New Roman" w:hAnsi="Times New Roman" w:eastAsia="方正仿宋_GBK" w:cs="Times New Roman"/>
                <w:sz w:val="24"/>
              </w:rPr>
              <w:t>本单位所提供的材料及数据真实有效。</w:t>
            </w:r>
          </w:p>
          <w:p>
            <w:pPr>
              <w:keepNext w:val="0"/>
              <w:keepLines w:val="0"/>
              <w:pageBreakBefore w:val="0"/>
              <w:kinsoku/>
              <w:overflowPunct/>
              <w:topLinePunct w:val="0"/>
              <w:autoSpaceDE w:val="0"/>
              <w:autoSpaceDN w:val="0"/>
              <w:bidi w:val="0"/>
              <w:adjustRightInd w:val="0"/>
              <w:snapToGrid/>
              <w:spacing w:line="590" w:lineRule="exact"/>
              <w:ind w:firstLine="448" w:firstLineChars="200"/>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2.</w:t>
            </w:r>
            <w:r>
              <w:rPr>
                <w:rFonts w:hint="default" w:ascii="Times New Roman" w:hAnsi="Times New Roman" w:eastAsia="方正仿宋_GBK" w:cs="Times New Roman"/>
                <w:sz w:val="24"/>
                <w:lang w:val="en-US" w:eastAsia="zh-CN"/>
              </w:rPr>
              <w:t xml:space="preserve"> </w:t>
            </w:r>
            <w:r>
              <w:rPr>
                <w:rFonts w:hint="default" w:ascii="Times New Roman" w:hAnsi="Times New Roman" w:eastAsia="方正仿宋_GBK" w:cs="Times New Roman"/>
                <w:sz w:val="24"/>
              </w:rPr>
              <w:t>本项目属于国家发展改革委《不单独进行节能审查的行业目录》（发改环资规〔2017〕1975号）中</w:t>
            </w:r>
            <w:r>
              <w:rPr>
                <w:rFonts w:hint="default" w:ascii="Times New Roman" w:hAnsi="Times New Roman" w:eastAsia="方正仿宋_GBK" w:cs="Times New Roman"/>
                <w:sz w:val="24"/>
                <w:u w:val="single"/>
              </w:rPr>
              <w:t xml:space="preserve">     </w:t>
            </w:r>
            <w:r>
              <w:rPr>
                <w:rFonts w:hint="default" w:ascii="Times New Roman" w:hAnsi="Times New Roman" w:eastAsia="方正仿宋_GBK" w:cs="Times New Roman"/>
                <w:sz w:val="24"/>
              </w:rPr>
              <w:t>行业。</w:t>
            </w:r>
          </w:p>
          <w:p>
            <w:pPr>
              <w:keepNext w:val="0"/>
              <w:keepLines w:val="0"/>
              <w:pageBreakBefore w:val="0"/>
              <w:kinsoku/>
              <w:overflowPunct/>
              <w:topLinePunct w:val="0"/>
              <w:autoSpaceDE w:val="0"/>
              <w:autoSpaceDN w:val="0"/>
              <w:bidi w:val="0"/>
              <w:adjustRightInd w:val="0"/>
              <w:snapToGrid/>
              <w:spacing w:line="590" w:lineRule="exact"/>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 xml:space="preserve">    3.</w:t>
            </w:r>
            <w:r>
              <w:rPr>
                <w:rFonts w:hint="default" w:ascii="Times New Roman" w:hAnsi="Times New Roman" w:eastAsia="方正仿宋_GBK" w:cs="Times New Roman"/>
                <w:sz w:val="24"/>
                <w:lang w:val="en-US" w:eastAsia="zh-CN"/>
              </w:rPr>
              <w:t xml:space="preserve"> </w:t>
            </w:r>
            <w:r>
              <w:rPr>
                <w:rFonts w:hint="default" w:ascii="Times New Roman" w:hAnsi="Times New Roman" w:eastAsia="方正仿宋_GBK" w:cs="Times New Roman"/>
                <w:sz w:val="24"/>
              </w:rPr>
              <w:t>本项目符合国家和我省的产业政策要求。</w:t>
            </w:r>
          </w:p>
          <w:p>
            <w:pPr>
              <w:keepNext w:val="0"/>
              <w:keepLines w:val="0"/>
              <w:pageBreakBefore w:val="0"/>
              <w:kinsoku/>
              <w:overflowPunct/>
              <w:topLinePunct w:val="0"/>
              <w:autoSpaceDE w:val="0"/>
              <w:autoSpaceDN w:val="0"/>
              <w:bidi w:val="0"/>
              <w:adjustRightInd w:val="0"/>
              <w:snapToGrid/>
              <w:spacing w:line="590" w:lineRule="exact"/>
              <w:ind w:firstLine="448" w:firstLineChars="200"/>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4.</w:t>
            </w:r>
            <w:r>
              <w:rPr>
                <w:rFonts w:hint="default" w:ascii="Times New Roman" w:hAnsi="Times New Roman" w:eastAsia="方正仿宋_GBK" w:cs="Times New Roman"/>
                <w:sz w:val="24"/>
                <w:lang w:val="en-US" w:eastAsia="zh-CN"/>
              </w:rPr>
              <w:t xml:space="preserve"> </w:t>
            </w:r>
            <w:r>
              <w:rPr>
                <w:rFonts w:hint="default" w:ascii="Times New Roman" w:hAnsi="Times New Roman" w:eastAsia="方正仿宋_GBK" w:cs="Times New Roman"/>
                <w:sz w:val="24"/>
              </w:rPr>
              <w:t>本项目单位产品能耗、电耗、水耗达到国家、省行业能耗准入标准（没有准入标准的，执行限额标准或地方能效指南）。</w:t>
            </w:r>
          </w:p>
          <w:p>
            <w:pPr>
              <w:keepNext w:val="0"/>
              <w:keepLines w:val="0"/>
              <w:pageBreakBefore w:val="0"/>
              <w:kinsoku/>
              <w:overflowPunct/>
              <w:topLinePunct w:val="0"/>
              <w:autoSpaceDE w:val="0"/>
              <w:autoSpaceDN w:val="0"/>
              <w:bidi w:val="0"/>
              <w:adjustRightInd w:val="0"/>
              <w:snapToGrid/>
              <w:spacing w:line="590" w:lineRule="exact"/>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 xml:space="preserve">    5.</w:t>
            </w:r>
            <w:r>
              <w:rPr>
                <w:rFonts w:hint="default" w:ascii="Times New Roman" w:hAnsi="Times New Roman" w:eastAsia="方正仿宋_GBK" w:cs="Times New Roman"/>
                <w:sz w:val="24"/>
                <w:lang w:val="en-US" w:eastAsia="zh-CN"/>
              </w:rPr>
              <w:t xml:space="preserve"> </w:t>
            </w:r>
            <w:r>
              <w:rPr>
                <w:rFonts w:hint="default" w:ascii="Times New Roman" w:hAnsi="Times New Roman" w:eastAsia="方正仿宋_GBK" w:cs="Times New Roman"/>
                <w:sz w:val="24"/>
              </w:rPr>
              <w:t>本项目达产后，年综合能源消费量控制在</w:t>
            </w:r>
            <w:r>
              <w:rPr>
                <w:rFonts w:hint="default" w:ascii="Times New Roman" w:hAnsi="Times New Roman" w:eastAsia="方正仿宋_GBK" w:cs="Times New Roman"/>
                <w:sz w:val="24"/>
                <w:u w:val="single"/>
              </w:rPr>
              <w:t xml:space="preserve">     </w:t>
            </w:r>
            <w:r>
              <w:rPr>
                <w:rFonts w:hint="default" w:ascii="Times New Roman" w:hAnsi="Times New Roman" w:eastAsia="方正仿宋_GBK" w:cs="Times New Roman"/>
                <w:sz w:val="24"/>
              </w:rPr>
              <w:t>吨标准煤（当量值）以内，预测每万元增加值能耗为</w:t>
            </w:r>
            <w:r>
              <w:rPr>
                <w:rFonts w:hint="default" w:ascii="Times New Roman" w:hAnsi="Times New Roman" w:eastAsia="方正仿宋_GBK" w:cs="Times New Roman"/>
                <w:sz w:val="24"/>
                <w:u w:val="single"/>
              </w:rPr>
              <w:t xml:space="preserve">     </w:t>
            </w:r>
            <w:r>
              <w:rPr>
                <w:rFonts w:hint="default" w:ascii="Times New Roman" w:hAnsi="Times New Roman" w:eastAsia="方正仿宋_GBK" w:cs="Times New Roman"/>
                <w:sz w:val="24"/>
              </w:rPr>
              <w:t>吨标准煤。</w:t>
            </w:r>
          </w:p>
          <w:p>
            <w:pPr>
              <w:keepNext w:val="0"/>
              <w:keepLines w:val="0"/>
              <w:pageBreakBefore w:val="0"/>
              <w:kinsoku/>
              <w:overflowPunct/>
              <w:topLinePunct w:val="0"/>
              <w:autoSpaceDE w:val="0"/>
              <w:autoSpaceDN w:val="0"/>
              <w:bidi w:val="0"/>
              <w:adjustRightInd w:val="0"/>
              <w:snapToGrid/>
              <w:spacing w:line="590" w:lineRule="exact"/>
              <w:ind w:firstLine="480"/>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6.</w:t>
            </w:r>
            <w:r>
              <w:rPr>
                <w:rFonts w:hint="default" w:ascii="Times New Roman" w:hAnsi="Times New Roman" w:eastAsia="方正仿宋_GBK" w:cs="Times New Roman"/>
                <w:sz w:val="24"/>
                <w:lang w:val="en-US" w:eastAsia="zh-CN"/>
              </w:rPr>
              <w:t xml:space="preserve"> </w:t>
            </w:r>
            <w:r>
              <w:rPr>
                <w:rFonts w:hint="default" w:ascii="Times New Roman" w:hAnsi="Times New Roman" w:eastAsia="方正仿宋_GBK" w:cs="Times New Roman"/>
                <w:sz w:val="24"/>
              </w:rPr>
              <w:t>本项目主要用能设备选择符合国家相关节能技术标准，无国家明令禁止使用的淘汰落后设备。</w:t>
            </w:r>
          </w:p>
          <w:p>
            <w:pPr>
              <w:keepNext w:val="0"/>
              <w:keepLines w:val="0"/>
              <w:pageBreakBefore w:val="0"/>
              <w:kinsoku/>
              <w:overflowPunct/>
              <w:topLinePunct w:val="0"/>
              <w:autoSpaceDE w:val="0"/>
              <w:autoSpaceDN w:val="0"/>
              <w:bidi w:val="0"/>
              <w:adjustRightInd w:val="0"/>
              <w:snapToGrid/>
              <w:spacing w:line="590" w:lineRule="exact"/>
              <w:ind w:firstLine="448" w:firstLineChars="200"/>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7.</w:t>
            </w:r>
            <w:r>
              <w:rPr>
                <w:rFonts w:hint="default" w:ascii="Times New Roman" w:hAnsi="Times New Roman" w:eastAsia="方正仿宋_GBK" w:cs="Times New Roman"/>
                <w:sz w:val="24"/>
                <w:lang w:val="en-US" w:eastAsia="zh-CN"/>
              </w:rPr>
              <w:t xml:space="preserve"> </w:t>
            </w:r>
            <w:r>
              <w:rPr>
                <w:rFonts w:hint="default" w:ascii="Times New Roman" w:hAnsi="Times New Roman" w:eastAsia="方正仿宋_GBK" w:cs="Times New Roman"/>
                <w:sz w:val="24"/>
              </w:rPr>
              <w:t>按规定配备相应的能源计量器具，落实能源计量管理。</w:t>
            </w:r>
          </w:p>
          <w:p>
            <w:pPr>
              <w:keepNext w:val="0"/>
              <w:keepLines w:val="0"/>
              <w:pageBreakBefore w:val="0"/>
              <w:kinsoku/>
              <w:overflowPunct/>
              <w:topLinePunct w:val="0"/>
              <w:autoSpaceDE w:val="0"/>
              <w:autoSpaceDN w:val="0"/>
              <w:bidi w:val="0"/>
              <w:adjustRightInd w:val="0"/>
              <w:snapToGrid/>
              <w:spacing w:line="590" w:lineRule="exact"/>
              <w:ind w:firstLine="448" w:firstLineChars="200"/>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8.</w:t>
            </w:r>
            <w:r>
              <w:rPr>
                <w:rFonts w:hint="default" w:ascii="Times New Roman" w:hAnsi="Times New Roman" w:eastAsia="方正仿宋_GBK" w:cs="Times New Roman"/>
                <w:sz w:val="24"/>
                <w:lang w:val="en-US" w:eastAsia="zh-CN"/>
              </w:rPr>
              <w:t xml:space="preserve"> </w:t>
            </w:r>
            <w:r>
              <w:rPr>
                <w:rFonts w:hint="default" w:ascii="Times New Roman" w:hAnsi="Times New Roman" w:eastAsia="方正仿宋_GBK" w:cs="Times New Roman"/>
                <w:sz w:val="24"/>
              </w:rPr>
              <w:t>本项目实施过程中，将严格遵守国家相关节能法律法规政策；建成投产后将严格履行报告义务，自觉配合相关检查、监察。</w:t>
            </w:r>
          </w:p>
          <w:p>
            <w:pPr>
              <w:keepNext w:val="0"/>
              <w:keepLines w:val="0"/>
              <w:pageBreakBefore w:val="0"/>
              <w:kinsoku/>
              <w:overflowPunct/>
              <w:topLinePunct w:val="0"/>
              <w:autoSpaceDE w:val="0"/>
              <w:autoSpaceDN w:val="0"/>
              <w:bidi w:val="0"/>
              <w:adjustRightInd w:val="0"/>
              <w:snapToGrid/>
              <w:spacing w:line="590" w:lineRule="exact"/>
              <w:ind w:firstLine="448" w:firstLineChars="200"/>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9.</w:t>
            </w:r>
            <w:r>
              <w:rPr>
                <w:rFonts w:hint="default" w:ascii="Times New Roman" w:hAnsi="Times New Roman" w:eastAsia="方正仿宋_GBK" w:cs="Times New Roman"/>
                <w:sz w:val="24"/>
                <w:lang w:val="en-US" w:eastAsia="zh-CN"/>
              </w:rPr>
              <w:t xml:space="preserve"> </w:t>
            </w:r>
            <w:r>
              <w:rPr>
                <w:rFonts w:hint="default" w:ascii="Times New Roman" w:hAnsi="Times New Roman" w:eastAsia="方正仿宋_GBK" w:cs="Times New Roman"/>
                <w:sz w:val="24"/>
              </w:rPr>
              <w:t>若未遵守本承诺内容，将依照有关法律法规政策规定接受处罚，依法承担相应责任，并接受联合惩戒。</w:t>
            </w:r>
          </w:p>
          <w:p>
            <w:pPr>
              <w:keepNext w:val="0"/>
              <w:keepLines w:val="0"/>
              <w:pageBreakBefore w:val="0"/>
              <w:kinsoku/>
              <w:overflowPunct/>
              <w:topLinePunct w:val="0"/>
              <w:autoSpaceDE w:val="0"/>
              <w:autoSpaceDN w:val="0"/>
              <w:bidi w:val="0"/>
              <w:adjustRightInd w:val="0"/>
              <w:snapToGrid/>
              <w:spacing w:line="590" w:lineRule="exact"/>
              <w:outlineLvl w:val="9"/>
              <w:rPr>
                <w:rFonts w:hint="default" w:ascii="Times New Roman" w:hAnsi="Times New Roman" w:eastAsia="方正仿宋_GBK" w:cs="Times New Roman"/>
                <w:sz w:val="24"/>
              </w:rPr>
            </w:pPr>
          </w:p>
          <w:p>
            <w:pPr>
              <w:keepNext w:val="0"/>
              <w:keepLines w:val="0"/>
              <w:pageBreakBefore w:val="0"/>
              <w:kinsoku/>
              <w:overflowPunct/>
              <w:topLinePunct w:val="0"/>
              <w:autoSpaceDE w:val="0"/>
              <w:autoSpaceDN w:val="0"/>
              <w:bidi w:val="0"/>
              <w:adjustRightInd w:val="0"/>
              <w:snapToGrid/>
              <w:spacing w:line="590" w:lineRule="exact"/>
              <w:outlineLvl w:val="9"/>
              <w:rPr>
                <w:rFonts w:hint="default" w:ascii="Times New Roman" w:hAnsi="Times New Roman" w:eastAsia="方正仿宋_GBK" w:cs="Times New Roman"/>
                <w:sz w:val="24"/>
              </w:rPr>
            </w:pPr>
          </w:p>
          <w:p>
            <w:pPr>
              <w:keepNext w:val="0"/>
              <w:keepLines w:val="0"/>
              <w:pageBreakBefore w:val="0"/>
              <w:kinsoku/>
              <w:overflowPunct/>
              <w:topLinePunct w:val="0"/>
              <w:autoSpaceDE w:val="0"/>
              <w:autoSpaceDN w:val="0"/>
              <w:bidi w:val="0"/>
              <w:adjustRightInd w:val="0"/>
              <w:snapToGrid/>
              <w:spacing w:line="590" w:lineRule="exact"/>
              <w:outlineLvl w:val="9"/>
              <w:rPr>
                <w:rFonts w:hint="default" w:ascii="Times New Roman" w:hAnsi="Times New Roman" w:eastAsia="方正仿宋_GBK" w:cs="Times New Roman"/>
                <w:sz w:val="24"/>
              </w:rPr>
            </w:pPr>
          </w:p>
          <w:p>
            <w:pPr>
              <w:keepNext w:val="0"/>
              <w:keepLines w:val="0"/>
              <w:pageBreakBefore w:val="0"/>
              <w:kinsoku/>
              <w:overflowPunct/>
              <w:topLinePunct w:val="0"/>
              <w:autoSpaceDE w:val="0"/>
              <w:autoSpaceDN w:val="0"/>
              <w:bidi w:val="0"/>
              <w:adjustRightInd w:val="0"/>
              <w:snapToGrid/>
              <w:spacing w:line="590" w:lineRule="exact"/>
              <w:outlineLvl w:val="9"/>
              <w:rPr>
                <w:rFonts w:hint="default" w:ascii="Times New Roman" w:hAnsi="Times New Roman" w:eastAsia="方正仿宋_GBK" w:cs="Times New Roman"/>
                <w:sz w:val="24"/>
              </w:rPr>
            </w:pPr>
          </w:p>
          <w:p>
            <w:pPr>
              <w:keepNext w:val="0"/>
              <w:keepLines w:val="0"/>
              <w:pageBreakBefore w:val="0"/>
              <w:kinsoku/>
              <w:overflowPunct/>
              <w:topLinePunct w:val="0"/>
              <w:autoSpaceDE w:val="0"/>
              <w:autoSpaceDN w:val="0"/>
              <w:bidi w:val="0"/>
              <w:adjustRightInd w:val="0"/>
              <w:snapToGrid/>
              <w:spacing w:line="590" w:lineRule="exact"/>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 xml:space="preserve">      企业负责人（签字）：                       企业（盖章）</w:t>
            </w:r>
          </w:p>
          <w:p>
            <w:pPr>
              <w:keepNext w:val="0"/>
              <w:keepLines w:val="0"/>
              <w:pageBreakBefore w:val="0"/>
              <w:kinsoku/>
              <w:overflowPunct/>
              <w:topLinePunct w:val="0"/>
              <w:autoSpaceDE w:val="0"/>
              <w:autoSpaceDN w:val="0"/>
              <w:bidi w:val="0"/>
              <w:snapToGrid/>
              <w:spacing w:line="590" w:lineRule="exact"/>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 xml:space="preserve">                                                年   月   日</w:t>
            </w:r>
          </w:p>
        </w:tc>
      </w:tr>
    </w:tbl>
    <w:p>
      <w:pPr>
        <w:keepNext w:val="0"/>
        <w:keepLines w:val="0"/>
        <w:pageBreakBefore w:val="0"/>
        <w:widowControl/>
        <w:kinsoku/>
        <w:overflowPunct/>
        <w:topLinePunct w:val="0"/>
        <w:bidi w:val="0"/>
        <w:snapToGrid/>
        <w:spacing w:line="590" w:lineRule="exact"/>
        <w:ind w:left="964" w:hanging="896" w:hangingChars="400"/>
        <w:outlineLvl w:val="9"/>
        <w:rPr>
          <w:rFonts w:hint="default" w:ascii="Times New Roman" w:hAnsi="Times New Roman" w:eastAsia="方正仿宋_GBK" w:cs="Times New Roman"/>
          <w:sz w:val="24"/>
        </w:rPr>
      </w:pPr>
      <w:r>
        <w:rPr>
          <w:rFonts w:hint="default" w:ascii="Times New Roman" w:hAnsi="Times New Roman" w:eastAsia="方正仿宋_GBK" w:cs="Times New Roman"/>
          <w:b/>
          <w:bCs/>
          <w:sz w:val="24"/>
        </w:rPr>
        <w:t>注：</w:t>
      </w:r>
      <w:r>
        <w:rPr>
          <w:rFonts w:hint="default" w:ascii="Times New Roman" w:hAnsi="Times New Roman" w:eastAsia="方正仿宋_GBK" w:cs="Times New Roman"/>
          <w:spacing w:val="-10"/>
          <w:sz w:val="24"/>
        </w:rPr>
        <w:t>（1）</w:t>
      </w:r>
      <w:r>
        <w:rPr>
          <w:rFonts w:hint="default" w:ascii="Times New Roman" w:hAnsi="Times New Roman" w:eastAsia="方正仿宋_GBK" w:cs="Times New Roman"/>
          <w:sz w:val="24"/>
        </w:rPr>
        <w:t>各种能源及耗能工质折标准煤参考系数参照《综合能耗计算通则》（GB/T2589）。</w:t>
      </w:r>
    </w:p>
    <w:p>
      <w:pPr>
        <w:keepNext w:val="0"/>
        <w:keepLines w:val="0"/>
        <w:pageBreakBefore w:val="0"/>
        <w:widowControl/>
        <w:kinsoku/>
        <w:overflowPunct/>
        <w:topLinePunct w:val="0"/>
        <w:bidi w:val="0"/>
        <w:snapToGrid/>
        <w:spacing w:line="590" w:lineRule="exact"/>
        <w:ind w:firstLine="408" w:firstLineChars="200"/>
        <w:outlineLvl w:val="9"/>
        <w:rPr>
          <w:rFonts w:hint="default" w:ascii="Times New Roman" w:hAnsi="Times New Roman" w:eastAsia="方正仿宋_GBK" w:cs="Times New Roman"/>
          <w:sz w:val="24"/>
        </w:rPr>
      </w:pPr>
      <w:r>
        <w:rPr>
          <w:rFonts w:hint="default" w:ascii="Times New Roman" w:hAnsi="Times New Roman" w:eastAsia="方正仿宋_GBK" w:cs="Times New Roman"/>
          <w:spacing w:val="-10"/>
          <w:sz w:val="24"/>
        </w:rPr>
        <w:t>（2）</w:t>
      </w:r>
      <w:r>
        <w:rPr>
          <w:rFonts w:hint="default" w:ascii="Times New Roman" w:hAnsi="Times New Roman" w:eastAsia="方正仿宋_GBK" w:cs="Times New Roman"/>
          <w:sz w:val="24"/>
        </w:rPr>
        <w:t>改扩建项目应当填写年新增能耗量，并分别对改建前后能源消费情况进行</w:t>
      </w:r>
    </w:p>
    <w:p>
      <w:pPr>
        <w:keepNext w:val="0"/>
        <w:keepLines w:val="0"/>
        <w:pageBreakBefore w:val="0"/>
        <w:widowControl/>
        <w:kinsoku/>
        <w:overflowPunct/>
        <w:topLinePunct w:val="0"/>
        <w:bidi w:val="0"/>
        <w:snapToGrid/>
        <w:spacing w:line="590" w:lineRule="exact"/>
        <w:ind w:firstLine="896" w:firstLineChars="400"/>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分析测算。</w:t>
      </w:r>
    </w:p>
    <w:p>
      <w:pPr>
        <w:keepNext w:val="0"/>
        <w:keepLines w:val="0"/>
        <w:pageBreakBefore w:val="0"/>
        <w:widowControl/>
        <w:kinsoku/>
        <w:overflowPunct/>
        <w:topLinePunct w:val="0"/>
        <w:bidi w:val="0"/>
        <w:snapToGrid/>
        <w:spacing w:line="590" w:lineRule="exact"/>
        <w:ind w:firstLine="408" w:firstLineChars="200"/>
        <w:outlineLvl w:val="9"/>
        <w:rPr>
          <w:rFonts w:hint="default" w:ascii="Times New Roman" w:hAnsi="Times New Roman" w:eastAsia="方正仿宋_GBK" w:cs="Times New Roman"/>
          <w:sz w:val="24"/>
        </w:rPr>
      </w:pPr>
      <w:r>
        <w:rPr>
          <w:rFonts w:hint="default" w:ascii="Times New Roman" w:hAnsi="Times New Roman" w:eastAsia="方正仿宋_GBK" w:cs="Times New Roman"/>
          <w:spacing w:val="-10"/>
          <w:sz w:val="24"/>
        </w:rPr>
        <w:t>（3）</w:t>
      </w:r>
      <w:r>
        <w:rPr>
          <w:rFonts w:hint="default" w:ascii="Times New Roman" w:hAnsi="Times New Roman" w:eastAsia="方正仿宋_GBK" w:cs="Times New Roman"/>
          <w:sz w:val="24"/>
        </w:rPr>
        <w:t>项目所属行业按照国民经济行业分类（GB/T 4754—2017）填写小类行业代</w:t>
      </w:r>
    </w:p>
    <w:p>
      <w:pPr>
        <w:keepNext w:val="0"/>
        <w:keepLines w:val="0"/>
        <w:pageBreakBefore w:val="0"/>
        <w:widowControl/>
        <w:kinsoku/>
        <w:overflowPunct/>
        <w:topLinePunct w:val="0"/>
        <w:bidi w:val="0"/>
        <w:snapToGrid/>
        <w:spacing w:line="590" w:lineRule="exact"/>
        <w:ind w:firstLine="896" w:firstLineChars="400"/>
        <w:outlineLvl w:val="9"/>
        <w:rPr>
          <w:rFonts w:hint="default" w:ascii="Times New Roman" w:hAnsi="Times New Roman" w:eastAsia="方正仿宋_GBK" w:cs="Times New Roman"/>
          <w:sz w:val="24"/>
        </w:rPr>
      </w:pPr>
      <w:r>
        <w:rPr>
          <w:rFonts w:hint="default" w:ascii="Times New Roman" w:hAnsi="Times New Roman" w:eastAsia="方正仿宋_GBK" w:cs="Times New Roman"/>
          <w:sz w:val="24"/>
        </w:rPr>
        <w:t>码。</w:t>
      </w:r>
    </w:p>
    <w:p>
      <w:pPr>
        <w:keepNext w:val="0"/>
        <w:keepLines w:val="0"/>
        <w:pageBreakBefore w:val="0"/>
        <w:widowControl/>
        <w:kinsoku/>
        <w:overflowPunct/>
        <w:topLinePunct w:val="0"/>
        <w:bidi w:val="0"/>
        <w:snapToGrid/>
        <w:spacing w:line="590" w:lineRule="exact"/>
        <w:ind w:firstLine="408" w:firstLineChars="200"/>
        <w:outlineLvl w:val="9"/>
        <w:rPr>
          <w:rFonts w:hint="default" w:ascii="Times New Roman" w:hAnsi="Times New Roman" w:eastAsia="方正仿宋_GBK" w:cs="Times New Roman"/>
        </w:rPr>
      </w:pPr>
      <w:r>
        <w:rPr>
          <w:rFonts w:hint="default" w:ascii="Times New Roman" w:hAnsi="Times New Roman" w:eastAsia="方正仿宋_GBK" w:cs="Times New Roman"/>
          <w:spacing w:val="-10"/>
          <w:sz w:val="24"/>
        </w:rPr>
        <w:t>（4）</w:t>
      </w:r>
      <w:r>
        <w:rPr>
          <w:rFonts w:hint="default" w:ascii="Times New Roman" w:hAnsi="Times New Roman" w:eastAsia="方正仿宋_GBK" w:cs="Times New Roman"/>
          <w:sz w:val="24"/>
        </w:rPr>
        <w:t>能源种类、耗能工质种类要全面，不得遗漏。</w:t>
      </w:r>
    </w:p>
    <w:sectPr>
      <w:headerReference r:id="rId3" w:type="default"/>
      <w:footerReference r:id="rId4" w:type="default"/>
      <w:footerReference r:id="rId5" w:type="even"/>
      <w:pgSz w:w="11907" w:h="16840"/>
      <w:pgMar w:top="2041" w:right="1701" w:bottom="2041" w:left="1701" w:header="935" w:footer="1531" w:gutter="0"/>
      <w:cols w:space="720" w:num="1"/>
      <w:docGrid w:type="linesAndChars" w:linePitch="567" w:charSpace="-332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Calibri Light">
    <w:panose1 w:val="020F0302020204030204"/>
    <w:charset w:val="00"/>
    <w:family w:val="auto"/>
    <w:pitch w:val="default"/>
    <w:sig w:usb0="A00002EF" w:usb1="4000207B" w:usb2="00000000" w:usb3="00000000" w:csb0="2000019F" w:csb1="00000000"/>
  </w:font>
  <w:font w:name="Tunga">
    <w:panose1 w:val="020B0502040204020203"/>
    <w:charset w:val="00"/>
    <w:family w:val="auto"/>
    <w:pitch w:val="default"/>
    <w:sig w:usb0="00400003" w:usb1="00000000" w:usb2="00000000" w:usb3="00000000" w:csb0="00000001" w:csb1="00000000"/>
  </w:font>
  <w:font w:name="Trebuchet MS">
    <w:panose1 w:val="020B0603020202020204"/>
    <w:charset w:val="00"/>
    <w:family w:val="auto"/>
    <w:pitch w:val="default"/>
    <w:sig w:usb0="00000287" w:usb1="00000000" w:usb2="00000000" w:usb3="00000000" w:csb0="2000009F" w:csb1="00000000"/>
  </w:font>
  <w:font w:name="Traditional Arabic">
    <w:panose1 w:val="02020603050405020304"/>
    <w:charset w:val="00"/>
    <w:family w:val="auto"/>
    <w:pitch w:val="default"/>
    <w:sig w:usb0="00006003" w:usb1="80000000" w:usb2="00000008" w:usb3="00000000" w:csb0="00000041" w:csb1="20080000"/>
  </w:font>
  <w:font w:name="Sylfaen">
    <w:panose1 w:val="010A0502050306030303"/>
    <w:charset w:val="00"/>
    <w:family w:val="auto"/>
    <w:pitch w:val="default"/>
    <w:sig w:usb0="04000687" w:usb1="00000000" w:usb2="00000000" w:usb3="00000000" w:csb0="2000009F" w:csb1="00000000"/>
  </w:font>
  <w:font w:name="Simplified Arabic Fixed">
    <w:panose1 w:val="02070309020205020404"/>
    <w:charset w:val="00"/>
    <w:family w:val="auto"/>
    <w:pitch w:val="default"/>
    <w:sig w:usb0="00002003" w:usb1="00000000" w:usb2="00000000" w:usb3="00000000" w:csb0="00000041" w:csb1="20080000"/>
  </w:font>
  <w:font w:name="Symbol">
    <w:panose1 w:val="05050102010706020507"/>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1"/>
      </w:pBdr>
      <w:rPr>
        <w:rFonts w:eastAsia="仿宋"/>
        <w:sz w:val="32"/>
        <w:szCs w:val="48"/>
      </w:rPr>
    </w:pPr>
    <w:r>
      <w:rPr>
        <w:sz w:val="32"/>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2"/>
                            <w:rPr>
                              <w:rStyle w:val="5"/>
                              <w:sz w:val="28"/>
                            </w:rPr>
                          </w:pPr>
                          <w:r>
                            <w:rPr>
                              <w:rStyle w:val="5"/>
                              <w:rFonts w:hint="eastAsia"/>
                              <w:sz w:val="28"/>
                            </w:rPr>
                            <w:t xml:space="preserve">— </w:t>
                          </w:r>
                          <w:r>
                            <w:rPr>
                              <w:sz w:val="28"/>
                            </w:rPr>
                            <w:fldChar w:fldCharType="begin"/>
                          </w:r>
                          <w:r>
                            <w:rPr>
                              <w:rStyle w:val="5"/>
                              <w:sz w:val="28"/>
                            </w:rPr>
                            <w:instrText xml:space="preserve">PAGE  </w:instrText>
                          </w:r>
                          <w:r>
                            <w:rPr>
                              <w:sz w:val="28"/>
                            </w:rPr>
                            <w:fldChar w:fldCharType="separate"/>
                          </w:r>
                          <w:r>
                            <w:rPr>
                              <w:rStyle w:val="5"/>
                              <w:sz w:val="28"/>
                            </w:rPr>
                            <w:t>6</w:t>
                          </w:r>
                          <w:r>
                            <w:rPr>
                              <w:sz w:val="28"/>
                            </w:rPr>
                            <w:fldChar w:fldCharType="end"/>
                          </w:r>
                          <w:r>
                            <w:rPr>
                              <w:rStyle w:val="5"/>
                              <w:rFonts w:hint="eastAsia"/>
                              <w:sz w:val="28"/>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zql5uc8A&#10;AAAFAQAADwAAAAAAAAABACAAAAAiAAAAZHJzL2Rvd25yZXYueG1sUEsBAhQAFAAAAAgAh07iQNzT&#10;xD62AQAAVAMAAA4AAAAAAAAAAQAgAAAAHgEAAGRycy9lMm9Eb2MueG1sUEsFBgAAAAAGAAYAWQEA&#10;AEYFAAAAAA==&#10;">
              <v:fill on="f" focussize="0,0"/>
              <v:stroke on="f"/>
              <v:imagedata o:title=""/>
              <o:lock v:ext="edit" aspectratio="f"/>
              <v:textbox inset="0mm,0mm,0mm,0mm" style="mso-fit-shape-to-text:t;">
                <w:txbxContent>
                  <w:p>
                    <w:pPr>
                      <w:pStyle w:val="2"/>
                      <w:rPr>
                        <w:rStyle w:val="5"/>
                        <w:sz w:val="28"/>
                      </w:rPr>
                    </w:pPr>
                    <w:r>
                      <w:rPr>
                        <w:rStyle w:val="5"/>
                        <w:rFonts w:hint="eastAsia"/>
                        <w:sz w:val="28"/>
                      </w:rPr>
                      <w:t xml:space="preserve">— </w:t>
                    </w:r>
                    <w:r>
                      <w:rPr>
                        <w:sz w:val="28"/>
                      </w:rPr>
                      <w:fldChar w:fldCharType="begin"/>
                    </w:r>
                    <w:r>
                      <w:rPr>
                        <w:rStyle w:val="5"/>
                        <w:sz w:val="28"/>
                      </w:rPr>
                      <w:instrText xml:space="preserve">PAGE  </w:instrText>
                    </w:r>
                    <w:r>
                      <w:rPr>
                        <w:sz w:val="28"/>
                      </w:rPr>
                      <w:fldChar w:fldCharType="separate"/>
                    </w:r>
                    <w:r>
                      <w:rPr>
                        <w:rStyle w:val="5"/>
                        <w:sz w:val="28"/>
                      </w:rPr>
                      <w:t>6</w:t>
                    </w:r>
                    <w:r>
                      <w:rPr>
                        <w:sz w:val="28"/>
                      </w:rPr>
                      <w:fldChar w:fldCharType="end"/>
                    </w:r>
                    <w:r>
                      <w:rPr>
                        <w:rStyle w:val="5"/>
                        <w:rFonts w:hint="eastAsia"/>
                        <w:sz w:val="28"/>
                      </w:rPr>
                      <w:t xml:space="preserve"> —</w:t>
                    </w:r>
                  </w:p>
                </w:txbxContent>
              </v:textbox>
            </v:shape>
          </w:pict>
        </mc:Fallback>
      </mc:AlternateContent>
    </w:r>
    <w:r>
      <w:rPr>
        <w:sz w:val="32"/>
      </w:rPr>
      <mc:AlternateContent>
        <mc:Choice Requires="wps">
          <w:drawing>
            <wp:anchor distT="0" distB="0" distL="114300" distR="114300" simplePos="0" relativeHeight="251661312" behindDoc="0" locked="0" layoutInCell="1" allowOverlap="1">
              <wp:simplePos x="0" y="0"/>
              <wp:positionH relativeFrom="margin">
                <wp:posOffset>-546735</wp:posOffset>
              </wp:positionH>
              <wp:positionV relativeFrom="paragraph">
                <wp:posOffset>38100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left:-43.05pt;margin-top:3pt;height:144pt;width:144pt;mso-position-horizontal-relative:margin;mso-wrap-style:none;z-index:251661312;mso-width-relative:page;mso-height-relative:page;" filled="f" stroked="f" coordsize="21600,21600" o:gfxdata="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5Scn3XAAAACQEAAA8AAAAA&#10;AAAAAQAgAAAAIgAAAGRycy9kb3ducmV2LnhtbFBLAQIUABQAAAAIAIdO4kCVolusFQIAABUEAAAO&#10;AAAAAAAAAAEAIAAAACYBAABkcnMvZTJvRG9jLnhtbFBLBQYAAAAABgAGAFkBAACtBQAAAAA=&#10;">
              <v:fill on="f" focussize="0,0"/>
              <v:stroke on="f" weight="0.5pt"/>
              <v:imagedata o:title=""/>
              <o:lock v:ext="edit" aspectratio="f"/>
              <v:textbox inset="0mm,0mm,0mm,0mm" style="mso-fit-shape-to-text:t;">
                <w:txbxContent>
                  <w:p/>
                </w:txbxContent>
              </v:textbox>
            </v:shape>
          </w:pict>
        </mc:Fallback>
      </mc:AlternateContent>
    </w:r>
    <w:r>
      <w:rPr>
        <w:rFonts w:hint="eastAsia" w:eastAsia="仿宋"/>
        <w:sz w:val="32"/>
        <w:szCs w:val="48"/>
      </w:rPr>
      <w:t xml:space="preserve">  </w:t>
    </w:r>
  </w:p>
  <w:p>
    <w:pPr>
      <w:pStyle w:val="2"/>
      <w:ind w:right="360" w:firstLine="360"/>
      <w:jc w:val="right"/>
      <w:rPr>
        <w:rFonts w:hint="eastAsia" w:eastAsia="仿宋"/>
        <w:color w:val="FAFAFA"/>
        <w:sz w:val="32"/>
        <w:szCs w:val="48"/>
      </w:rPr>
    </w:pPr>
    <w:r>
      <w:rPr>
        <w:color w:val="FAFAFA"/>
        <w:sz w:val="32"/>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112395</wp:posOffset>
              </wp:positionV>
              <wp:extent cx="5400040" cy="1905"/>
              <wp:effectExtent l="0" t="0" r="0" b="0"/>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pt;margin-top:8.85pt;height:0.15pt;width:425.2pt;z-index:251659264;mso-width-relative:page;mso-height-relative:page;" filled="f" stroked="t" coordsize="21600,21600" o:gfxdata="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c71+RtEAAAAGAQAADwAAAAAAAAABACAAAAAiAAAAZHJzL2Rvd25yZXYueG1s&#10;UEsBAhQAFAAAAAgAh07iQDf5WEzGAQAAXgMAAA4AAAAAAAAAAQAgAAAAIAEAAGRycy9lMm9Eb2Mu&#10;eG1sUEsFBgAAAAAGAAYAWQEAAFgFAAAAAA==&#10;">
              <v:fill on="f" focussize="0,0"/>
              <v:stroke weight="1.75pt" color="#005192" joinstyle="round"/>
              <v:imagedata o:title=""/>
              <o:lock v:ext="edit" aspectratio="f"/>
            </v:line>
          </w:pict>
        </mc:Fallback>
      </mc:AlternateContent>
    </w:r>
    <w:r>
      <w:rPr>
        <w:rFonts w:hint="eastAsia" w:eastAsia="仿宋"/>
        <w:color w:val="FAFAFA"/>
        <w:sz w:val="32"/>
        <w:szCs w:val="48"/>
      </w:rPr>
      <w:t>.X</w:t>
    </w:r>
  </w:p>
  <w:p>
    <w:pPr>
      <w:pStyle w:val="2"/>
      <w:ind w:right="360" w:firstLine="360"/>
      <w:jc w:val="right"/>
    </w:pPr>
    <w:r>
      <w:rPr>
        <w:rFonts w:hint="eastAsia" w:ascii="宋体" w:hAnsi="宋体" w:eastAsia="宋体" w:cs="宋体"/>
        <w:b/>
        <w:bCs/>
        <w:color w:val="005192"/>
        <w:sz w:val="28"/>
        <w:szCs w:val="44"/>
        <w:lang w:eastAsia="zh-CN"/>
      </w:rPr>
      <w:t>六安市发展和改革委员会（六安市粮食和物资储备局）</w:t>
    </w:r>
    <w:r>
      <w:rPr>
        <w:rFonts w:hint="eastAsia" w:ascii="宋体" w:hAnsi="宋体" w:eastAsia="宋体" w:cs="宋体"/>
        <w:b/>
        <w:bCs/>
        <w:color w:val="005192"/>
        <w:sz w:val="28"/>
        <w:szCs w:val="44"/>
      </w:rPr>
      <w:t xml:space="preserve">发布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5"/>
      </w:rPr>
    </w:pPr>
    <w:r>
      <w:fldChar w:fldCharType="begin"/>
    </w:r>
    <w:r>
      <w:rPr>
        <w:rStyle w:val="5"/>
      </w:rPr>
      <w:instrText xml:space="preserve">PAGE  </w:instrText>
    </w:r>
    <w:r>
      <w:fldChar w:fldCharType="end"/>
    </w:r>
  </w:p>
  <w:p>
    <w:pPr>
      <w:pStyle w:val="2"/>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1"/>
      </w:pBdr>
      <w:textAlignment w:val="center"/>
      <w:rPr>
        <w:rFonts w:ascii="宋体" w:hAnsi="宋体" w:eastAsia="宋体" w:cs="宋体"/>
        <w:b/>
        <w:bCs/>
        <w:color w:val="005192"/>
        <w:sz w:val="32"/>
      </w:rPr>
    </w:pPr>
    <w:r>
      <w:rPr>
        <w:rFonts w:hint="eastAsia" w:ascii="宋体" w:hAnsi="宋体" w:eastAsia="宋体" w:cs="宋体"/>
        <w:b/>
        <w:bCs/>
        <w:color w:val="005192"/>
        <w:sz w:val="32"/>
      </w:rPr>
      <mc:AlternateContent>
        <mc:Choice Requires="wps">
          <w:drawing>
            <wp:anchor distT="0" distB="0" distL="114300" distR="114300" simplePos="0" relativeHeight="251658240" behindDoc="0" locked="0" layoutInCell="1" allowOverlap="1">
              <wp:simplePos x="0" y="0"/>
              <wp:positionH relativeFrom="column">
                <wp:posOffset>-3810</wp:posOffset>
              </wp:positionH>
              <wp:positionV relativeFrom="paragraph">
                <wp:posOffset>690245</wp:posOffset>
              </wp:positionV>
              <wp:extent cx="5400040" cy="0"/>
              <wp:effectExtent l="0" t="0" r="0" b="0"/>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3pt;margin-top:54.35pt;height:0pt;width:425.2pt;z-index:251658240;mso-width-relative:page;mso-height-relative:page;" filled="f" stroked="t" coordsize="21600,21600" o:gfxdata="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D0OjkT0gAAAAkBAAAPAAAAAAAAAAEAIAAAACIAAABkcnMv&#10;ZG93bnJldi54bWxQSwECFAAUAAAACACHTuJASOVjadABAABmAwAADgAAAAAAAAABACAAAAAhAQAA&#10;ZHJzL2Uyb0RvYy54bWxQSwUGAAAAAAYABgBZAQAAYwUAAAAA&#10;">
              <v:fill on="f" focussize="0,0"/>
              <v:stroke weight="1.75pt" color="#005192" joinstyle="round"/>
              <v:imagedata o:title=""/>
              <o:lock v:ext="edit" aspectratio="f"/>
            </v:line>
          </w:pict>
        </mc:Fallback>
      </mc:AlternateContent>
    </w:r>
  </w:p>
  <w:p>
    <w:pPr>
      <w:pStyle w:val="3"/>
      <w:pBdr>
        <w:bottom w:val="none" w:color="auto" w:sz="0" w:space="1"/>
      </w:pBdr>
      <w:jc w:val="left"/>
      <w:textAlignment w:val="center"/>
      <w:rPr>
        <w:rFonts w:hint="eastAsia" w:ascii="宋体" w:hAnsi="宋体" w:eastAsia="宋体" w:cs="宋体"/>
        <w:b/>
        <w:bCs/>
        <w:color w:val="005192"/>
        <w:sz w:val="32"/>
        <w:szCs w:val="32"/>
      </w:rPr>
    </w:pPr>
    <w:r>
      <w:rPr>
        <w:rFonts w:hint="eastAsia" w:ascii="宋体" w:hAnsi="宋体" w:eastAsia="宋体" w:cs="宋体"/>
        <w:b/>
        <w:bCs/>
        <w:color w:val="005192"/>
        <w:sz w:val="32"/>
      </w:rPr>
      <w:drawing>
        <wp:inline distT="0" distB="0" distL="114300" distR="114300">
          <wp:extent cx="308610" cy="308610"/>
          <wp:effectExtent l="0" t="0" r="15240" b="15240"/>
          <wp:docPr id="2" name="图片 1"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国徽1024"/>
                  <pic:cNvPicPr>
                    <a:picLocks noChangeAspect="1"/>
                  </pic:cNvPicPr>
                </pic:nvPicPr>
                <pic:blipFill>
                  <a:blip r:embed="rId1"/>
                  <a:stretch>
                    <a:fillRect/>
                  </a:stretch>
                </pic:blipFill>
                <pic:spPr>
                  <a:xfrm>
                    <a:off x="0" y="0"/>
                    <a:ext cx="308610" cy="308610"/>
                  </a:xfrm>
                  <a:prstGeom prst="rect">
                    <a:avLst/>
                  </a:prstGeom>
                  <a:noFill/>
                  <a:ln w="9525">
                    <a:noFill/>
                  </a:ln>
                </pic:spPr>
              </pic:pic>
            </a:graphicData>
          </a:graphic>
        </wp:inline>
      </w:drawing>
    </w:r>
    <w:r>
      <w:rPr>
        <w:rFonts w:hint="eastAsia" w:ascii="宋体" w:hAnsi="宋体" w:eastAsia="宋体" w:cs="宋体"/>
        <w:b/>
        <w:bCs/>
        <w:color w:val="005192"/>
        <w:sz w:val="24"/>
        <w:szCs w:val="15"/>
        <w:lang w:eastAsia="zh-CN"/>
      </w:rPr>
      <w:t>六安市发展和改革委员会（六安市粮食和物资储备局）</w:t>
    </w:r>
    <w:r>
      <w:rPr>
        <w:rFonts w:hint="eastAsia" w:ascii="宋体" w:hAnsi="宋体" w:eastAsia="宋体" w:cs="宋体"/>
        <w:b/>
        <w:bCs/>
        <w:color w:val="005192"/>
        <w:sz w:val="24"/>
        <w:szCs w:val="15"/>
      </w:rPr>
      <w:t>行政规范性文件</w:t>
    </w:r>
  </w:p>
  <w:p>
    <w:pPr>
      <w:pStyle w:val="3"/>
      <w:pBdr>
        <w:bottom w:val="none" w:color="auto" w:sz="0" w:space="1"/>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1B251F2"/>
    <w:rsid w:val="00244671"/>
    <w:rsid w:val="0556334E"/>
    <w:rsid w:val="0AED2B30"/>
    <w:rsid w:val="11A40F41"/>
    <w:rsid w:val="13C65DCE"/>
    <w:rsid w:val="20075682"/>
    <w:rsid w:val="23A50030"/>
    <w:rsid w:val="28006B5A"/>
    <w:rsid w:val="323B2C3A"/>
    <w:rsid w:val="395073A2"/>
    <w:rsid w:val="3BC63D13"/>
    <w:rsid w:val="3EDF6E5D"/>
    <w:rsid w:val="3F0D6B86"/>
    <w:rsid w:val="43633C10"/>
    <w:rsid w:val="5AA46FA4"/>
    <w:rsid w:val="625D40AA"/>
    <w:rsid w:val="643F200A"/>
    <w:rsid w:val="67EB5C79"/>
    <w:rsid w:val="6883277A"/>
    <w:rsid w:val="6DFC7EE6"/>
    <w:rsid w:val="6FC44FCE"/>
    <w:rsid w:val="71AB0072"/>
    <w:rsid w:val="71B251F2"/>
    <w:rsid w:val="759E24A8"/>
    <w:rsid w:val="76975D42"/>
    <w:rsid w:val="7ACC4DB7"/>
    <w:rsid w:val="7D6C66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仿宋_GB2312" w:asciiTheme="minorHAnsi" w:hAnsiTheme="minorHAnsi" w:cstheme="minorBidi"/>
      <w:kern w:val="2"/>
      <w:sz w:val="32"/>
      <w:szCs w:val="32"/>
      <w:lang w:val="en-US" w:eastAsia="zh-CN" w:bidi="ar-SA"/>
    </w:rPr>
  </w:style>
  <w:style w:type="character" w:default="1" w:styleId="4">
    <w:name w:val="Default Paragraph Font"/>
    <w:semiHidden/>
    <w:qFormat/>
    <w:uiPriority w:val="0"/>
  </w:style>
  <w:style w:type="table" w:default="1" w:styleId="6">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5">
    <w:name w:val="page number"/>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2022-12-13T15:00:00Z</dcterms:created>
  <dc:creator>蔡庆杰</dc:creator>
  <cp:lastModifiedBy>Administrator</cp:lastModifiedBy>
  <dcterms:modified xsi:type="dcterms:W3CDTF">2023-01-05T16:57:44Z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y fmtid="{D5CDD505-2E9C-101B-9397-08002B2CF9AE}" pid="3" name="ICV">
    <vt:lpwstr>CA9F40B7261343E8949E50749DD11122</vt:lpwstr>
  </property>
</Properties>
</file>