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关于印发《全市粮食烘干领域电能替代工作实施方案》的通知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六发改仓储〔2019〕314号</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各县（区）发改委（粮食和物资储备局）：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现将《全市粮食烘干领域电能替代工作实施方案》印发给你们，请认真贯彻落实。</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六安市发展和改革委员会</w:t>
      </w:r>
    </w:p>
    <w:p>
      <w:pPr>
        <w:keepNext w:val="0"/>
        <w:keepLines w:val="0"/>
        <w:pageBreakBefore w:val="0"/>
        <w:widowControl w:val="0"/>
        <w:kinsoku/>
        <w:wordWrap/>
        <w:overflowPunct/>
        <w:topLinePunct w:val="0"/>
        <w:autoSpaceDE/>
        <w:autoSpaceDN/>
        <w:bidi w:val="0"/>
        <w:adjustRightInd/>
        <w:snapToGrid/>
        <w:spacing w:line="590" w:lineRule="exact"/>
        <w:ind w:left="0" w:leftChars="0" w:right="1064" w:rightChars="35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2019年12月25日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全市粮食烘干领域电能替代工作实施方案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电能具有清洁、安全、便捷等优势，实施电能替代对于推动能源消费革命、落实国家能源战略、促进能源清洁化发展意义重大，是优化能源结构、控制煤炭消费总量、减少大气污染、打好生态环保攻坚战的重要举措。为贯彻落实《关于推进安徽省电能替代的实施意见》（皖发改能源〔2017〕576号）和《关于加快推进全省粮食烘干领域电能替代工作的通知》（皖粮规联〔2019〕79号）精神，在全市加快推进粮食烘干领域电能替代工作，制定本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一、替代范围</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县、区实施“优质粮食工程”在建和待建的粮食产后服务中心项目，要优先采购符合环保、高效、低耗、经济、安全等要求的空气源热泵粮食烘干设备、移动式烘干机、就仓干燥系统等。对于热源不符合环保要求的粮食烘干设备应进行升级改造，优先使用电能进行替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二、政策支持</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1.享受农业用电政策。</w:t>
      </w:r>
      <w:r>
        <w:rPr>
          <w:rFonts w:hint="default" w:ascii="Times New Roman" w:hAnsi="Times New Roman" w:eastAsia="方正仿宋_GBK" w:cs="Times New Roman"/>
          <w:sz w:val="32"/>
          <w:szCs w:val="32"/>
        </w:rPr>
        <w:t>根据《安徽省物价局关于进一步明确农业生产用电价格有关事项的通知》（皖价商〔2018〕89号）关于农产品初加工用电适用农业生产用电价格的相关规定，粮食清理和烘干设备用电享受农业生产用电电价政策。</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2.加大财政支持力度。</w:t>
      </w:r>
      <w:r>
        <w:rPr>
          <w:rFonts w:hint="default" w:ascii="Times New Roman" w:hAnsi="Times New Roman" w:eastAsia="方正仿宋_GBK" w:cs="Times New Roman"/>
          <w:sz w:val="32"/>
          <w:szCs w:val="32"/>
        </w:rPr>
        <w:t>根据粮食产后服务中心建设范围的有关规定，粮食产后干燥清理设施设备应符合绿色环保要求。鼓励地方财政统筹相关资金，对粮食产后服务中心采购空气源热泵烘干设备以及使用电能对燃煤锅炉升级改造予以适当补助。</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3.支持电力扩容改造。</w:t>
      </w:r>
      <w:r>
        <w:rPr>
          <w:rFonts w:hint="default" w:ascii="Times New Roman" w:hAnsi="Times New Roman" w:eastAsia="方正仿宋_GBK" w:cs="Times New Roman"/>
          <w:sz w:val="32"/>
          <w:szCs w:val="32"/>
        </w:rPr>
        <w:t>列入优质粮食工程的粮食产后服务中心及其它粮食初加工企业开展电能替代升级改造，由此需要增设专用变压器或将原有专用变压器增容的，属地电力公司将提供相关绿色通道和优质服务。</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4.强化电力技术保障。</w:t>
      </w:r>
      <w:r>
        <w:rPr>
          <w:rFonts w:hint="default" w:ascii="Times New Roman" w:hAnsi="Times New Roman" w:eastAsia="方正仿宋_GBK" w:cs="Times New Roman"/>
          <w:sz w:val="32"/>
          <w:szCs w:val="32"/>
        </w:rPr>
        <w:t>列入优质粮食工程的粮食产后服务中心所在地电力公司将结合当地粮食流通规模和产后服务中心发展方向，确定专人对粮食清理烘干配套设施新建及升级改造等进行跟踪服务，并做好后续技术保障。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三、工作要求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（一）提高认识、高度重视。</w:t>
      </w:r>
      <w:r>
        <w:rPr>
          <w:rFonts w:hint="default" w:ascii="Times New Roman" w:hAnsi="Times New Roman" w:eastAsia="方正仿宋_GBK" w:cs="Times New Roman"/>
          <w:sz w:val="32"/>
          <w:szCs w:val="32"/>
        </w:rPr>
        <w:t>电能替代对于推动能源消费革命、落实国家能源战略、促进能源清洁化发展意义重大，是优化能源结构、控制煤炭消费总量、减少大气污染的重要举措。推进粮食烘干领域电能替代已列入年度粮食安全省长责任制考核，各地要切实提高认识，强化宣传引导，积极做好粮食烘干电能替代工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（二）细化方案、明确任务。</w:t>
      </w:r>
      <w:r>
        <w:rPr>
          <w:rFonts w:hint="default" w:ascii="Times New Roman" w:hAnsi="Times New Roman" w:eastAsia="方正仿宋_GBK" w:cs="Times New Roman"/>
          <w:sz w:val="32"/>
          <w:szCs w:val="32"/>
        </w:rPr>
        <w:t>各县区粮食和物资储备主管部门要主动牵头，会同能源主管部门和电力公司，结合实际，细化制定本地区推进粮食烘干电能替代的具体方案，进一步明确目标任务、工作进度和推进措施，确保可操作、能落实。</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（三）培育典型、示范引领。</w:t>
      </w:r>
      <w:r>
        <w:rPr>
          <w:rFonts w:hint="default" w:ascii="Times New Roman" w:hAnsi="Times New Roman" w:eastAsia="方正仿宋_GBK" w:cs="Times New Roman"/>
          <w:sz w:val="32"/>
          <w:szCs w:val="32"/>
        </w:rPr>
        <w:t>各地要结合贯彻落实《财政部 粮食和储备局关于深入实施“优质粮食工程”的意见》（财建〔2019〕287号）、国家粮食和物资储备局印发的《粮食产后服务体系建设实施指南》（国粮规〔2019〕183号）相关要求，及时报送本地粮食烘干电能替代工作进展，注重培育电能替代工作先进典型，充分发挥示范引领作用，切实提升我市粮食烘干领域电能替代整体工作水平。</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联系人：市发改委  徐  壮  0564-3327328</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张德云  0564-3379760</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YXhMj9ABAACiAwAADgAAAAAAAAABACAAAAAeAQAAZHJz&#10;L2Uyb0RvYy54bWxQSwUGAAAAAAYABgBZAQAAYAUAAAAA&#10;">
              <v:fill on="f" focussize="0,0"/>
              <v:stroke on="f"/>
              <v:imagedata o:title=""/>
              <o:lock v:ext="edit" aspectratio="f"/>
              <v:textbox inset="0mm,0mm,0mm,0mm" style="mso-fit-shape-to-text:t;">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2"/>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fldChar w:fldCharType="begin"/>
    </w:r>
    <w:r>
      <w:rPr>
        <w:rStyle w:val="6"/>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153C153E"/>
    <w:rsid w:val="00244671"/>
    <w:rsid w:val="02A7321F"/>
    <w:rsid w:val="0556334E"/>
    <w:rsid w:val="0AED2B30"/>
    <w:rsid w:val="11A40F41"/>
    <w:rsid w:val="13C65DCE"/>
    <w:rsid w:val="153C153E"/>
    <w:rsid w:val="20075682"/>
    <w:rsid w:val="23A50030"/>
    <w:rsid w:val="28006B5A"/>
    <w:rsid w:val="323B2C3A"/>
    <w:rsid w:val="3BC63D13"/>
    <w:rsid w:val="3EDF6E5D"/>
    <w:rsid w:val="3F0D6B86"/>
    <w:rsid w:val="43633C10"/>
    <w:rsid w:val="5AA46FA4"/>
    <w:rsid w:val="625D40AA"/>
    <w:rsid w:val="643F200A"/>
    <w:rsid w:val="6883277A"/>
    <w:rsid w:val="6DFC7EE6"/>
    <w:rsid w:val="6FC44FCE"/>
    <w:rsid w:val="71AB007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2022-12-13T18:05:00Z</dcterms:created>
  <dc:creator>蔡庆杰</dc:creator>
  <cp:lastModifiedBy>蔡庆杰</cp:lastModifiedBy>
  <dcterms:modified xsi:type="dcterms:W3CDTF">2023-08-31T16:46:25Z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CA9F40B7261343E8949E50749DD11122</vt:lpwstr>
  </property>
</Properties>
</file>